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16FA1" w14:textId="6781E322" w:rsidR="000A4BA4" w:rsidRDefault="0094317A">
      <w:pPr>
        <w:rPr>
          <w:rFonts w:cs="Arial"/>
          <w:sz w:val="21"/>
          <w:szCs w:val="24"/>
        </w:rPr>
      </w:pPr>
      <w:r>
        <w:rPr>
          <w:rFonts w:cs="Arial"/>
          <w:b/>
          <w:bCs/>
          <w:noProof/>
          <w:sz w:val="21"/>
          <w:szCs w:val="24"/>
        </w:rPr>
        <w:drawing>
          <wp:anchor distT="0" distB="0" distL="114300" distR="114300" simplePos="0" relativeHeight="251658249" behindDoc="1" locked="0" layoutInCell="1" allowOverlap="1" wp14:anchorId="1B94ACBC" wp14:editId="5B3B2FD9">
            <wp:simplePos x="0" y="0"/>
            <wp:positionH relativeFrom="page">
              <wp:posOffset>4799684</wp:posOffset>
            </wp:positionH>
            <wp:positionV relativeFrom="topMargin">
              <wp:posOffset>895425</wp:posOffset>
            </wp:positionV>
            <wp:extent cx="2211394" cy="848409"/>
            <wp:effectExtent l="0" t="0" r="0" b="8890"/>
            <wp:wrapTight wrapText="bothSides">
              <wp:wrapPolygon edited="0">
                <wp:start x="0" y="0"/>
                <wp:lineTo x="0" y="15521"/>
                <wp:lineTo x="10794" y="15521"/>
                <wp:lineTo x="10049" y="20856"/>
                <wp:lineTo x="10794" y="21341"/>
                <wp:lineTo x="17493" y="21341"/>
                <wp:lineTo x="20843" y="21341"/>
                <wp:lineTo x="21401" y="18916"/>
                <wp:lineTo x="19727" y="17946"/>
                <wp:lineTo x="10794" y="15521"/>
                <wp:lineTo x="21401" y="15521"/>
                <wp:lineTo x="21401" y="5335"/>
                <wp:lineTo x="20843" y="0"/>
                <wp:lineTo x="0" y="0"/>
              </wp:wrapPolygon>
            </wp:wrapTight>
            <wp:docPr id="1200346127" name="Picture 25"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346127" name="Picture 25" descr="A blue text on a black background&#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211394" cy="84840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A539C3" w14:textId="654F867D" w:rsidR="000A4BA4" w:rsidRDefault="000A4BA4">
      <w:pPr>
        <w:rPr>
          <w:rFonts w:cs="Arial"/>
          <w:sz w:val="21"/>
          <w:szCs w:val="24"/>
        </w:rPr>
      </w:pPr>
    </w:p>
    <w:p w14:paraId="3BCDFF2D" w14:textId="72920976" w:rsidR="001A4C8D" w:rsidRPr="001A4C8D" w:rsidRDefault="001A4C8D">
      <w:pPr>
        <w:rPr>
          <w:rFonts w:cs="Arial"/>
          <w:sz w:val="21"/>
          <w:szCs w:val="24"/>
        </w:rPr>
      </w:pPr>
    </w:p>
    <w:tbl>
      <w:tblPr>
        <w:tblpPr w:leftFromText="180" w:rightFromText="180" w:vertAnchor="page" w:horzAnchor="margin" w:tblpY="4249"/>
        <w:tblW w:w="8561" w:type="dxa"/>
        <w:tblCellSpacing w:w="56" w:type="dxa"/>
        <w:tblCellMar>
          <w:top w:w="142" w:type="dxa"/>
          <w:left w:w="142" w:type="dxa"/>
          <w:bottom w:w="142" w:type="dxa"/>
          <w:right w:w="142" w:type="dxa"/>
        </w:tblCellMar>
        <w:tblLook w:val="0000" w:firstRow="0" w:lastRow="0" w:firstColumn="0" w:lastColumn="0" w:noHBand="0" w:noVBand="0"/>
      </w:tblPr>
      <w:tblGrid>
        <w:gridCol w:w="8561"/>
      </w:tblGrid>
      <w:tr w:rsidR="002D78F5" w:rsidRPr="003D6BF0" w14:paraId="07F5F2F3" w14:textId="77777777" w:rsidTr="002D78F5">
        <w:trPr>
          <w:tblCellSpacing w:w="56" w:type="dxa"/>
        </w:trPr>
        <w:tc>
          <w:tcPr>
            <w:tcW w:w="8337" w:type="dxa"/>
            <w:tcMar>
              <w:top w:w="108" w:type="dxa"/>
              <w:bottom w:w="108" w:type="dxa"/>
            </w:tcMar>
          </w:tcPr>
          <w:p w14:paraId="54415CDE" w14:textId="77777777" w:rsidR="002D78F5" w:rsidRDefault="002D78F5" w:rsidP="002D78F5">
            <w:pPr>
              <w:pStyle w:val="Appendiceflypage"/>
              <w:framePr w:hSpace="0" w:wrap="auto" w:vAnchor="margin" w:hAnchor="text" w:yAlign="inline"/>
              <w:rPr>
                <w:sz w:val="72"/>
                <w:szCs w:val="44"/>
              </w:rPr>
            </w:pPr>
            <w:r w:rsidRPr="00F61476">
              <w:rPr>
                <w:sz w:val="72"/>
                <w:szCs w:val="44"/>
              </w:rPr>
              <w:t>Million Hours Fund Evaluation</w:t>
            </w:r>
          </w:p>
          <w:p w14:paraId="6A94A323" w14:textId="77777777" w:rsidR="002D78F5" w:rsidRPr="00F61476" w:rsidRDefault="002D78F5" w:rsidP="002D78F5">
            <w:pPr>
              <w:pStyle w:val="Appendiceflypage"/>
              <w:framePr w:hSpace="0" w:wrap="auto" w:vAnchor="margin" w:hAnchor="text" w:yAlign="inline"/>
            </w:pPr>
          </w:p>
          <w:p w14:paraId="63436488" w14:textId="77777777" w:rsidR="002D78F5" w:rsidRPr="00F61476" w:rsidRDefault="002D78F5" w:rsidP="002D78F5">
            <w:pPr>
              <w:pStyle w:val="Appendiceflypage"/>
              <w:framePr w:hSpace="0" w:wrap="auto" w:vAnchor="margin" w:hAnchor="text" w:yAlign="inline"/>
              <w:rPr>
                <w:sz w:val="48"/>
                <w:szCs w:val="32"/>
              </w:rPr>
            </w:pPr>
            <w:r w:rsidRPr="00F61476">
              <w:rPr>
                <w:sz w:val="48"/>
                <w:szCs w:val="32"/>
              </w:rPr>
              <w:t>Second Interim Report</w:t>
            </w:r>
            <w:r>
              <w:rPr>
                <w:sz w:val="48"/>
                <w:szCs w:val="32"/>
              </w:rPr>
              <w:t>: The Short Version</w:t>
            </w:r>
          </w:p>
          <w:p w14:paraId="2B74A80C" w14:textId="77777777" w:rsidR="002D78F5" w:rsidRDefault="002D78F5" w:rsidP="002D78F5">
            <w:pPr>
              <w:pStyle w:val="Appendiceflypage"/>
              <w:framePr w:hSpace="0" w:wrap="auto" w:vAnchor="margin" w:hAnchor="text" w:yAlign="inline"/>
            </w:pPr>
          </w:p>
          <w:p w14:paraId="355FAAC1" w14:textId="192C4C84" w:rsidR="002D78F5" w:rsidRDefault="002D78F5" w:rsidP="002D78F5">
            <w:pPr>
              <w:pStyle w:val="Appendiceflypage"/>
              <w:framePr w:hSpace="0" w:wrap="auto" w:vAnchor="margin" w:hAnchor="text" w:yAlign="inline"/>
            </w:pPr>
            <w:r>
              <w:t>J</w:t>
            </w:r>
            <w:r w:rsidR="000E2847">
              <w:t>une</w:t>
            </w:r>
            <w:r>
              <w:t xml:space="preserve"> 2026</w:t>
            </w:r>
          </w:p>
          <w:p w14:paraId="32267226" w14:textId="77777777" w:rsidR="002D78F5" w:rsidRPr="003D6BF0" w:rsidRDefault="002D78F5" w:rsidP="002D78F5">
            <w:pPr>
              <w:pStyle w:val="tendernumberfooter"/>
              <w:framePr w:hSpace="0" w:wrap="auto" w:hAnchor="text" w:yAlign="inline"/>
              <w:rPr>
                <w:color w:val="auto"/>
                <w:sz w:val="32"/>
                <w:szCs w:val="40"/>
              </w:rPr>
            </w:pPr>
            <w:r w:rsidRPr="003D6BF0">
              <w:rPr>
                <w:color w:val="auto"/>
              </w:rPr>
              <w:t xml:space="preserve"> </w:t>
            </w:r>
          </w:p>
        </w:tc>
      </w:tr>
    </w:tbl>
    <w:p w14:paraId="6CC7AF5C" w14:textId="4E4625AC" w:rsidR="00184DE6" w:rsidRDefault="008163F0">
      <w:r w:rsidRPr="001A07FA">
        <w:rPr>
          <w:noProof/>
        </w:rPr>
        <mc:AlternateContent>
          <mc:Choice Requires="wpg">
            <w:drawing>
              <wp:anchor distT="0" distB="0" distL="114300" distR="114300" simplePos="0" relativeHeight="251658243" behindDoc="0" locked="0" layoutInCell="1" allowOverlap="1" wp14:anchorId="3A577954" wp14:editId="77E17843">
                <wp:simplePos x="0" y="0"/>
                <wp:positionH relativeFrom="page">
                  <wp:align>left</wp:align>
                </wp:positionH>
                <wp:positionV relativeFrom="page">
                  <wp:posOffset>5162550</wp:posOffset>
                </wp:positionV>
                <wp:extent cx="7330440" cy="7559040"/>
                <wp:effectExtent l="0" t="0" r="22860" b="22860"/>
                <wp:wrapNone/>
                <wp:docPr id="19" name="Group 18">
                  <a:extLst xmlns:a="http://schemas.openxmlformats.org/drawingml/2006/main">
                    <a:ext uri="{FF2B5EF4-FFF2-40B4-BE49-F238E27FC236}">
                      <a16:creationId xmlns:a16="http://schemas.microsoft.com/office/drawing/2014/main" id="{D2637227-CBBF-6B2F-56E7-6B3EA7F0BF69}"/>
                    </a:ext>
                  </a:extLst>
                </wp:docPr>
                <wp:cNvGraphicFramePr/>
                <a:graphic xmlns:a="http://schemas.openxmlformats.org/drawingml/2006/main">
                  <a:graphicData uri="http://schemas.microsoft.com/office/word/2010/wordprocessingGroup">
                    <wpg:wgp>
                      <wpg:cNvGrpSpPr/>
                      <wpg:grpSpPr>
                        <a:xfrm rot="5400000">
                          <a:off x="0" y="0"/>
                          <a:ext cx="7330440" cy="7559040"/>
                          <a:chOff x="-1056845" y="0"/>
                          <a:chExt cx="6281987" cy="7559675"/>
                        </a:xfrm>
                      </wpg:grpSpPr>
                      <wps:wsp>
                        <wps:cNvPr id="1201598650" name="Rectangle 1201598650">
                          <a:extLst>
                            <a:ext uri="{FF2B5EF4-FFF2-40B4-BE49-F238E27FC236}">
                              <a16:creationId xmlns:a16="http://schemas.microsoft.com/office/drawing/2014/main" id="{E2BFCDE8-6202-49C4-DC4B-7CB081CC6DE9}"/>
                            </a:ext>
                          </a:extLst>
                        </wps:cNvPr>
                        <wps:cNvSpPr/>
                        <wps:spPr>
                          <a:xfrm>
                            <a:off x="0" y="0"/>
                            <a:ext cx="5225142" cy="755657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g:cNvPr id="946654269" name="Group 946654269">
                          <a:extLst>
                            <a:ext uri="{FF2B5EF4-FFF2-40B4-BE49-F238E27FC236}">
                              <a16:creationId xmlns:a16="http://schemas.microsoft.com/office/drawing/2014/main" id="{A57A7670-F021-022B-65E6-089E6D18CB15}"/>
                            </a:ext>
                          </a:extLst>
                        </wpg:cNvPr>
                        <wpg:cNvGrpSpPr/>
                        <wpg:grpSpPr>
                          <a:xfrm>
                            <a:off x="-1056845" y="0"/>
                            <a:ext cx="3754825" cy="7559675"/>
                            <a:chOff x="-1056845" y="0"/>
                            <a:chExt cx="3754825" cy="7559675"/>
                          </a:xfrm>
                        </wpg:grpSpPr>
                        <wps:wsp>
                          <wps:cNvPr id="1219835809" name="Rectangle 1219835809">
                            <a:extLst>
                              <a:ext uri="{FF2B5EF4-FFF2-40B4-BE49-F238E27FC236}">
                                <a16:creationId xmlns:a16="http://schemas.microsoft.com/office/drawing/2014/main" id="{8761AD7F-30E3-76A1-B849-4EBF97E8E63C}"/>
                              </a:ext>
                            </a:extLst>
                          </wps:cNvPr>
                          <wps:cNvSpPr/>
                          <wps:spPr>
                            <a:xfrm>
                              <a:off x="-1056845" y="38484"/>
                              <a:ext cx="1040608" cy="1134122"/>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856235514" name="Rectangle 856235514">
                            <a:extLst>
                              <a:ext uri="{FF2B5EF4-FFF2-40B4-BE49-F238E27FC236}">
                                <a16:creationId xmlns:a16="http://schemas.microsoft.com/office/drawing/2014/main" id="{A725BF91-D8BE-7EF1-13F8-F969EF560435}"/>
                              </a:ext>
                            </a:extLst>
                          </wps:cNvPr>
                          <wps:cNvSpPr/>
                          <wps:spPr>
                            <a:xfrm>
                              <a:off x="2" y="0"/>
                              <a:ext cx="2612571" cy="2195513"/>
                            </a:xfrm>
                            <a:prstGeom prst="rect">
                              <a:avLst/>
                            </a:prstGeom>
                            <a:ln>
                              <a:solidFill>
                                <a:srgbClr val="E71D73"/>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665855373" name="Rectangle 1665855373">
                            <a:extLst>
                              <a:ext uri="{FF2B5EF4-FFF2-40B4-BE49-F238E27FC236}">
                                <a16:creationId xmlns:a16="http://schemas.microsoft.com/office/drawing/2014/main" id="{9A65089D-1051-3D66-C613-423197A247F1}"/>
                              </a:ext>
                            </a:extLst>
                          </wps:cNvPr>
                          <wps:cNvSpPr/>
                          <wps:spPr>
                            <a:xfrm>
                              <a:off x="367012" y="4391026"/>
                              <a:ext cx="2330968" cy="3168649"/>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96284699" name="Rectangle 296284699">
                            <a:extLst>
                              <a:ext uri="{FF2B5EF4-FFF2-40B4-BE49-F238E27FC236}">
                                <a16:creationId xmlns:a16="http://schemas.microsoft.com/office/drawing/2014/main" id="{C6BEEAFD-4F64-640B-302C-406448F8E8AF}"/>
                              </a:ext>
                            </a:extLst>
                          </wps:cNvPr>
                          <wps:cNvSpPr/>
                          <wps:spPr>
                            <a:xfrm>
                              <a:off x="375507" y="3364866"/>
                              <a:ext cx="1071278" cy="1006731"/>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715123564" name="Rectangle 1715123564">
                            <a:extLst>
                              <a:ext uri="{FF2B5EF4-FFF2-40B4-BE49-F238E27FC236}">
                                <a16:creationId xmlns:a16="http://schemas.microsoft.com/office/drawing/2014/main" id="{20514900-C307-F0C4-3E4A-3C1D664FDACA}"/>
                              </a:ext>
                            </a:extLst>
                          </wps:cNvPr>
                          <wps:cNvSpPr/>
                          <wps:spPr>
                            <a:xfrm>
                              <a:off x="1446785" y="2230432"/>
                              <a:ext cx="1165610" cy="1055181"/>
                            </a:xfrm>
                            <a:prstGeom prst="rect">
                              <a:avLst/>
                            </a:prstGeom>
                            <a:solidFill>
                              <a:srgbClr val="95C11F"/>
                            </a:solid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g:wgp>
                  </a:graphicData>
                </a:graphic>
                <wp14:sizeRelH relativeFrom="margin">
                  <wp14:pctWidth>0</wp14:pctWidth>
                </wp14:sizeRelH>
              </wp:anchor>
            </w:drawing>
          </mc:Choice>
          <mc:Fallback>
            <w:pict>
              <v:group w14:anchorId="761FEF63" id="Group 18" o:spid="_x0000_s1026" style="position:absolute;margin-left:0;margin-top:406.5pt;width:577.2pt;height:595.2pt;rotation:90;z-index:251658243;mso-position-horizontal:left;mso-position-horizontal-relative:page;mso-position-vertical-relative:page;mso-width-relative:margin" coordorigin="-10568" coordsize="62819,75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">
                <v:rect id="Rectangle 1201598650" o:spid="_x0000_s1027" style="position:absolute;width:52251;height:755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" fillcolor="white [3212]" strokecolor="white [3212]" strokeweight="2pt"/>
                <v:group id="Group 946654269" o:spid="_x0000_s1028" style="position:absolute;left:-10568;width:37547;height:75596" coordorigin="-10568" coordsize="37548,75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">
                  <v:rect id="Rectangle 1219835809" o:spid="_x0000_s1029" style="position:absolute;left:-10568;top:384;width:10406;height:113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" fillcolor="#253360 [3214]" stroked="f" strokeweight="2pt"/>
                  <v:rect id="Rectangle 856235514" o:spid="_x0000_s1030" style="position:absolute;width:26125;height:219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" fillcolor="#e71d73 [3204]" strokecolor="#e71d73" strokeweight="2pt"/>
                  <v:rect id="Rectangle 1665855373" o:spid="_x0000_s1031" style="position:absolute;left:3670;top:43910;width:23309;height:31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" fillcolor="#253360 [3214]" stroked="f" strokeweight="2pt"/>
                  <v:rect id="Rectangle 296284699" o:spid="_x0000_s1032" style="position:absolute;left:3755;top:33648;width:10712;height:100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" fillcolor="#e71d73 [3204]" stroked="f" strokeweight="2pt"/>
                  <v:rect id="Rectangle 1715123564" o:spid="_x0000_s1033" style="position:absolute;left:14467;top:22304;width:11656;height:10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" fillcolor="#95c11f" strokecolor="#95c11f [3205]" strokeweight="2pt"/>
                </v:group>
                <w10:wrap anchorx="page" anchory="page"/>
              </v:group>
            </w:pict>
          </mc:Fallback>
        </mc:AlternateContent>
      </w:r>
      <w:r w:rsidRPr="00E13A70">
        <w:rPr>
          <w:rStyle w:val="Heading3Char"/>
          <w:noProof/>
          <w:color w:val="000000" w:themeColor="text1"/>
          <w:szCs w:val="16"/>
        </w:rPr>
        <mc:AlternateContent>
          <mc:Choice Requires="wps">
            <w:drawing>
              <wp:anchor distT="45720" distB="45720" distL="114300" distR="114300" simplePos="0" relativeHeight="251658245" behindDoc="0" locked="0" layoutInCell="1" allowOverlap="1" wp14:anchorId="1A2EDF8A" wp14:editId="79364606">
                <wp:simplePos x="0" y="0"/>
                <wp:positionH relativeFrom="column">
                  <wp:posOffset>4299585</wp:posOffset>
                </wp:positionH>
                <wp:positionV relativeFrom="paragraph">
                  <wp:posOffset>7853045</wp:posOffset>
                </wp:positionV>
                <wp:extent cx="3714750" cy="342900"/>
                <wp:effectExtent l="0" t="0" r="0" b="0"/>
                <wp:wrapNone/>
                <wp:docPr id="4517821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0" cy="342900"/>
                        </a:xfrm>
                        <a:prstGeom prst="rect">
                          <a:avLst/>
                        </a:prstGeom>
                        <a:noFill/>
                        <a:ln w="9525">
                          <a:noFill/>
                          <a:miter lim="800000"/>
                          <a:headEnd/>
                          <a:tailEnd/>
                        </a:ln>
                      </wps:spPr>
                      <wps:txbx>
                        <w:txbxContent>
                          <w:p w14:paraId="05C75CFE" w14:textId="77777777" w:rsidR="00E3003C" w:rsidRPr="00F207DA" w:rsidRDefault="00E3003C" w:rsidP="00E3003C">
                            <w:pPr>
                              <w:pStyle w:val="Coverfooter"/>
                              <w:spacing w:after="120"/>
                              <w:jc w:val="left"/>
                              <w:rPr>
                                <w:b/>
                                <w:bCs/>
                                <w:color w:val="253360" w:themeColor="background2"/>
                                <w:sz w:val="32"/>
                                <w:szCs w:val="32"/>
                              </w:rPr>
                            </w:pPr>
                            <w:r w:rsidRPr="00F207DA">
                              <w:rPr>
                                <w:b/>
                                <w:bCs/>
                                <w:color w:val="253360" w:themeColor="background2"/>
                                <w:sz w:val="32"/>
                                <w:szCs w:val="32"/>
                              </w:rPr>
                              <w:t>www.fortiainsight.com</w:t>
                            </w:r>
                          </w:p>
                          <w:p w14:paraId="4C473A17" w14:textId="77777777" w:rsidR="00E3003C" w:rsidRPr="00F207DA" w:rsidRDefault="00E3003C" w:rsidP="00E3003C">
                            <w:pPr>
                              <w:rPr>
                                <w:b/>
                                <w:bCs/>
                                <w:color w:val="253360" w:themeColor="background2"/>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2EDF8A" id="_x0000_t202" coordsize="21600,21600" o:spt="202" path="m,l,21600r21600,l21600,xe">
                <v:stroke joinstyle="miter"/>
                <v:path gradientshapeok="t" o:connecttype="rect"/>
              </v:shapetype>
              <v:shape id="Text Box 2" o:spid="_x0000_s1026" type="#_x0000_t202" style="position:absolute;margin-left:338.55pt;margin-top:618.35pt;width:292.5pt;height:27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" filled="f" stroked="f">
                <v:textbox>
                  <w:txbxContent>
                    <w:p w14:paraId="05C75CFE" w14:textId="77777777" w:rsidR="00E3003C" w:rsidRPr="00F207DA" w:rsidRDefault="00E3003C" w:rsidP="00E3003C">
                      <w:pPr>
                        <w:pStyle w:val="Coverfooter"/>
                        <w:spacing w:after="120"/>
                        <w:jc w:val="left"/>
                        <w:rPr>
                          <w:b/>
                          <w:bCs/>
                          <w:color w:val="253360" w:themeColor="background2"/>
                          <w:sz w:val="32"/>
                          <w:szCs w:val="32"/>
                        </w:rPr>
                      </w:pPr>
                      <w:r w:rsidRPr="00F207DA">
                        <w:rPr>
                          <w:b/>
                          <w:bCs/>
                          <w:color w:val="253360" w:themeColor="background2"/>
                          <w:sz w:val="32"/>
                          <w:szCs w:val="32"/>
                        </w:rPr>
                        <w:t>www.fortiainsight.com</w:t>
                      </w:r>
                    </w:p>
                    <w:p w14:paraId="4C473A17" w14:textId="77777777" w:rsidR="00E3003C" w:rsidRPr="00F207DA" w:rsidRDefault="00E3003C" w:rsidP="00E3003C">
                      <w:pPr>
                        <w:rPr>
                          <w:b/>
                          <w:bCs/>
                          <w:color w:val="253360" w:themeColor="background2"/>
                          <w:sz w:val="28"/>
                          <w:szCs w:val="28"/>
                        </w:rPr>
                      </w:pPr>
                    </w:p>
                  </w:txbxContent>
                </v:textbox>
              </v:shape>
            </w:pict>
          </mc:Fallback>
        </mc:AlternateContent>
      </w:r>
    </w:p>
    <w:p w14:paraId="0C7063A0" w14:textId="77777777" w:rsidR="000531C9" w:rsidRDefault="000531C9" w:rsidP="00005946">
      <w:pPr>
        <w:sectPr w:rsidR="000531C9" w:rsidSect="000125C0">
          <w:headerReference w:type="default" r:id="rId12"/>
          <w:footerReference w:type="even" r:id="rId13"/>
          <w:footerReference w:type="default" r:id="rId14"/>
          <w:headerReference w:type="first" r:id="rId15"/>
          <w:footerReference w:type="first" r:id="rId16"/>
          <w:type w:val="nextColumn"/>
          <w:pgSz w:w="11906" w:h="16838" w:code="9"/>
          <w:pgMar w:top="2739" w:right="850" w:bottom="2837" w:left="850" w:header="0" w:footer="510" w:gutter="0"/>
          <w:pgNumType w:fmt="lowerRoman" w:start="0"/>
          <w:cols w:space="144"/>
          <w:titlePg/>
          <w:docGrid w:linePitch="360"/>
        </w:sectPr>
      </w:pPr>
    </w:p>
    <w:p w14:paraId="7F32683A" w14:textId="101988F2" w:rsidR="00927195" w:rsidRPr="006A4A2F" w:rsidRDefault="00380D48" w:rsidP="00380D48">
      <w:pPr>
        <w:pStyle w:val="Heading1"/>
        <w:numPr>
          <w:ilvl w:val="0"/>
          <w:numId w:val="0"/>
        </w:numPr>
        <w:rPr>
          <w:rFonts w:eastAsia="Arial"/>
        </w:rPr>
      </w:pPr>
      <w:r>
        <w:lastRenderedPageBreak/>
        <w:t>Million Hours Fund evaluation second interim report: the short version</w:t>
      </w:r>
    </w:p>
    <w:p w14:paraId="4BD57154" w14:textId="526E9965" w:rsidR="00927195" w:rsidRDefault="00B46F92" w:rsidP="00B46F92">
      <w:pPr>
        <w:pStyle w:val="Heading2"/>
        <w:numPr>
          <w:ilvl w:val="0"/>
          <w:numId w:val="0"/>
        </w:numPr>
        <w:rPr>
          <w:rFonts w:eastAsia="Arial"/>
          <w:sz w:val="28"/>
          <w:szCs w:val="22"/>
        </w:rPr>
      </w:pPr>
      <w:r w:rsidRPr="0020780A">
        <w:rPr>
          <w:rFonts w:eastAsia="Arial"/>
          <w:sz w:val="28"/>
          <w:szCs w:val="22"/>
        </w:rPr>
        <w:t>Executive Summary</w:t>
      </w:r>
    </w:p>
    <w:p w14:paraId="11E90A12" w14:textId="769E36C4" w:rsidR="00E612D8" w:rsidRPr="004327C2" w:rsidRDefault="00E612D8" w:rsidP="004327C2">
      <w:pPr>
        <w:pStyle w:val="Heading3"/>
        <w:numPr>
          <w:ilvl w:val="0"/>
          <w:numId w:val="0"/>
        </w:numPr>
      </w:pPr>
      <w:r w:rsidRPr="004327C2">
        <w:t>Introduction</w:t>
      </w:r>
    </w:p>
    <w:p w14:paraId="397D784B" w14:textId="77777777" w:rsidR="00866FF6" w:rsidRDefault="00866FF6" w:rsidP="00866FF6">
      <w:pPr>
        <w:spacing w:after="120"/>
        <w:rPr>
          <w:sz w:val="22"/>
          <w:szCs w:val="22"/>
        </w:rPr>
      </w:pPr>
      <w:bookmarkStart w:id="0" w:name="_Toc230858004"/>
      <w:r>
        <w:rPr>
          <w:sz w:val="22"/>
          <w:szCs w:val="22"/>
        </w:rPr>
        <w:t>The Million Hours Fund (MHF) supports existing ‘open access’ youth services</w:t>
      </w:r>
      <w:r>
        <w:rPr>
          <w:sz w:val="22"/>
          <w:szCs w:val="22"/>
          <w:vertAlign w:val="superscript"/>
        </w:rPr>
        <w:footnoteReference w:id="2"/>
      </w:r>
      <w:r>
        <w:rPr>
          <w:sz w:val="22"/>
          <w:szCs w:val="22"/>
        </w:rPr>
        <w:t xml:space="preserve">, funding additional youth workers, volunteers, venue hire, and resources. This increases weekly opening hours or session availability each week and helps organisations to provide extra support to young people (YP) in areas where they may be at risk of Anti-Social Behaviour (ASB), whether as victims or offenders. </w:t>
      </w:r>
      <w:r w:rsidRPr="00D96896">
        <w:rPr>
          <w:sz w:val="22"/>
          <w:szCs w:val="22"/>
        </w:rPr>
        <w:t xml:space="preserve">Tackling ASB is important because research shows it can have negative impacts on individuals’ wellbeing, on their behaviours and health, and on local </w:t>
      </w:r>
      <w:r>
        <w:rPr>
          <w:sz w:val="22"/>
          <w:szCs w:val="22"/>
        </w:rPr>
        <w:t>community cohesion</w:t>
      </w:r>
      <w:r>
        <w:rPr>
          <w:sz w:val="22"/>
          <w:szCs w:val="22"/>
          <w:vertAlign w:val="superscript"/>
        </w:rPr>
        <w:footnoteReference w:id="3"/>
      </w:r>
      <w:r>
        <w:rPr>
          <w:sz w:val="22"/>
          <w:szCs w:val="22"/>
        </w:rPr>
        <w:t>.</w:t>
      </w:r>
    </w:p>
    <w:p w14:paraId="1D7CB681" w14:textId="77777777" w:rsidR="00866FF6" w:rsidRDefault="00866FF6" w:rsidP="00866FF6">
      <w:pPr>
        <w:spacing w:after="120"/>
        <w:rPr>
          <w:sz w:val="22"/>
          <w:szCs w:val="22"/>
        </w:rPr>
      </w:pPr>
      <w:r>
        <w:rPr>
          <w:sz w:val="22"/>
          <w:szCs w:val="22"/>
        </w:rPr>
        <w:t>The MHF aims to achieve positive outcomes for:</w:t>
      </w:r>
    </w:p>
    <w:p w14:paraId="547243DC" w14:textId="77777777" w:rsidR="00866FF6" w:rsidRDefault="00866FF6" w:rsidP="00293FB1">
      <w:pPr>
        <w:numPr>
          <w:ilvl w:val="0"/>
          <w:numId w:val="7"/>
        </w:numPr>
        <w:spacing w:after="120"/>
        <w:rPr>
          <w:b/>
          <w:bCs/>
        </w:rPr>
      </w:pPr>
      <w:r>
        <w:rPr>
          <w:b/>
          <w:bCs/>
          <w:sz w:val="22"/>
          <w:szCs w:val="22"/>
        </w:rPr>
        <w:t xml:space="preserve">MHF grantholders, their staff, and volunteers, </w:t>
      </w:r>
      <w:r>
        <w:rPr>
          <w:sz w:val="22"/>
          <w:szCs w:val="22"/>
        </w:rPr>
        <w:t>by increasing their capacity to deliver youth activities, developing their skills and knowledge, and improving their ability to meet the needs of YP.</w:t>
      </w:r>
    </w:p>
    <w:p w14:paraId="3EA23653" w14:textId="77777777" w:rsidR="00866FF6" w:rsidRDefault="00866FF6" w:rsidP="00293FB1">
      <w:pPr>
        <w:numPr>
          <w:ilvl w:val="0"/>
          <w:numId w:val="7"/>
        </w:numPr>
        <w:spacing w:after="120"/>
        <w:rPr>
          <w:b/>
          <w:bCs/>
        </w:rPr>
      </w:pPr>
      <w:r>
        <w:rPr>
          <w:b/>
          <w:bCs/>
          <w:sz w:val="22"/>
          <w:szCs w:val="22"/>
        </w:rPr>
        <w:t xml:space="preserve">YP, </w:t>
      </w:r>
      <w:r>
        <w:rPr>
          <w:sz w:val="22"/>
          <w:szCs w:val="22"/>
        </w:rPr>
        <w:t>by increasing their wellbeing, confidence, and life skills; fostering positive relationships with staff and volunteers; and reducing the risk factors associated with ASB.</w:t>
      </w:r>
    </w:p>
    <w:p w14:paraId="700ADB1A" w14:textId="77777777" w:rsidR="00866FF6" w:rsidRDefault="00866FF6" w:rsidP="00293FB1">
      <w:pPr>
        <w:numPr>
          <w:ilvl w:val="0"/>
          <w:numId w:val="7"/>
        </w:numPr>
        <w:spacing w:after="120"/>
        <w:rPr>
          <w:b/>
          <w:bCs/>
        </w:rPr>
      </w:pPr>
      <w:r>
        <w:rPr>
          <w:b/>
          <w:bCs/>
          <w:sz w:val="22"/>
          <w:szCs w:val="22"/>
        </w:rPr>
        <w:t xml:space="preserve">Local communities, </w:t>
      </w:r>
      <w:r>
        <w:rPr>
          <w:sz w:val="22"/>
          <w:szCs w:val="22"/>
        </w:rPr>
        <w:t>through improved perceptions of YP, stronger community cohesion, and increased feelings of safety.</w:t>
      </w:r>
    </w:p>
    <w:p w14:paraId="6B846330" w14:textId="77777777" w:rsidR="00866FF6" w:rsidRDefault="00866FF6" w:rsidP="00866FF6">
      <w:pPr>
        <w:spacing w:after="120"/>
        <w:rPr>
          <w:sz w:val="22"/>
          <w:szCs w:val="22"/>
        </w:rPr>
      </w:pPr>
      <w:r>
        <w:rPr>
          <w:sz w:val="22"/>
          <w:szCs w:val="22"/>
        </w:rPr>
        <w:t>The MHF has a total funding allocation of £41m. This is delivered across three phases.</w:t>
      </w:r>
    </w:p>
    <w:p w14:paraId="50DE1442" w14:textId="77777777" w:rsidR="00866FF6" w:rsidRDefault="00866FF6" w:rsidP="00293FB1">
      <w:pPr>
        <w:numPr>
          <w:ilvl w:val="0"/>
          <w:numId w:val="7"/>
        </w:numPr>
        <w:spacing w:after="120"/>
        <w:rPr>
          <w:sz w:val="22"/>
          <w:szCs w:val="22"/>
        </w:rPr>
      </w:pPr>
      <w:r>
        <w:rPr>
          <w:b/>
          <w:bCs/>
          <w:sz w:val="22"/>
          <w:szCs w:val="22"/>
        </w:rPr>
        <w:t>The ‘Summer Funding programme’ (Phase 1)</w:t>
      </w:r>
      <w:r>
        <w:rPr>
          <w:sz w:val="22"/>
          <w:szCs w:val="22"/>
        </w:rPr>
        <w:t xml:space="preserve"> provided small grants of up to £10,000 to help 427 grantholders expand their offering for YP over the summer holiday period (3 July – 4 August 2023). Although Phase 1 primarily focussed on the summer holiday period, grantholders had up to 12 months to spend the funding.</w:t>
      </w:r>
    </w:p>
    <w:p w14:paraId="72BC1080" w14:textId="77777777" w:rsidR="00866FF6" w:rsidRDefault="00866FF6" w:rsidP="00293FB1">
      <w:pPr>
        <w:numPr>
          <w:ilvl w:val="0"/>
          <w:numId w:val="7"/>
        </w:numPr>
        <w:spacing w:after="120"/>
        <w:rPr>
          <w:sz w:val="22"/>
          <w:szCs w:val="22"/>
        </w:rPr>
      </w:pPr>
      <w:r>
        <w:rPr>
          <w:b/>
          <w:bCs/>
          <w:sz w:val="22"/>
          <w:szCs w:val="22"/>
        </w:rPr>
        <w:t>Phase 2 of the MHF</w:t>
      </w:r>
      <w:r>
        <w:rPr>
          <w:sz w:val="22"/>
          <w:szCs w:val="22"/>
        </w:rPr>
        <w:t xml:space="preserve"> is providing grants between £30,000 and £100,000 to grantholders from December 2023 to March 2026. Delivery </w:t>
      </w:r>
      <w:proofErr w:type="gramStart"/>
      <w:r>
        <w:rPr>
          <w:sz w:val="22"/>
          <w:szCs w:val="22"/>
        </w:rPr>
        <w:t>start</w:t>
      </w:r>
      <w:proofErr w:type="gramEnd"/>
      <w:r>
        <w:rPr>
          <w:sz w:val="22"/>
          <w:szCs w:val="22"/>
        </w:rPr>
        <w:t xml:space="preserve"> dates vary: some grantholders received grant confirmation as early as December 2023 and others as late as April 2024. While some completed their delivery in March 2025, the majority will finish in March 2026. This is the focus of this report. The total funding allocated for phases 1 and 2 was £22m, with the Department for Culture Media and Sport (DCMS) and The National Lottery Community Fund committing £11m each.</w:t>
      </w:r>
    </w:p>
    <w:p w14:paraId="33D1E740" w14:textId="77777777" w:rsidR="00866FF6" w:rsidRDefault="00866FF6" w:rsidP="00293FB1">
      <w:pPr>
        <w:numPr>
          <w:ilvl w:val="0"/>
          <w:numId w:val="7"/>
        </w:numPr>
        <w:spacing w:after="120"/>
        <w:rPr>
          <w:sz w:val="22"/>
          <w:szCs w:val="22"/>
        </w:rPr>
      </w:pPr>
      <w:r>
        <w:rPr>
          <w:b/>
          <w:bCs/>
          <w:sz w:val="22"/>
          <w:szCs w:val="22"/>
        </w:rPr>
        <w:t>Phase 3 of the MHF</w:t>
      </w:r>
      <w:r>
        <w:rPr>
          <w:sz w:val="22"/>
          <w:szCs w:val="22"/>
        </w:rPr>
        <w:t xml:space="preserve"> is a £19m extension, announced in August 2025. It is providing grant funding from November 2025 and will run until March 2027. This phase builds on learning from earlier phases, with updated eligible wards selected using recent police data and current youth population figures to ensure funding is targeted to areas with the </w:t>
      </w:r>
      <w:sdt>
        <w:sdtPr>
          <w:tag w:val="goog_rdk_11"/>
          <w:id w:val="1155599886"/>
        </w:sdtPr>
        <w:sdtEndPr/>
        <w:sdtContent/>
      </w:sdt>
      <w:sdt>
        <w:sdtPr>
          <w:tag w:val="goog_rdk_12"/>
          <w:id w:val="-1986007743"/>
        </w:sdtPr>
        <w:sdtEndPr/>
        <w:sdtContent/>
      </w:sdt>
      <w:r>
        <w:rPr>
          <w:sz w:val="22"/>
          <w:szCs w:val="22"/>
        </w:rPr>
        <w:t>greatest need.</w:t>
      </w:r>
    </w:p>
    <w:p w14:paraId="16A159B2" w14:textId="77777777" w:rsidR="00866FF6" w:rsidRDefault="00866FF6" w:rsidP="00866FF6">
      <w:pPr>
        <w:spacing w:after="120"/>
      </w:pPr>
      <w:r w:rsidRPr="00D96896">
        <w:rPr>
          <w:sz w:val="22"/>
          <w:szCs w:val="22"/>
        </w:rPr>
        <w:lastRenderedPageBreak/>
        <w:t>The MH</w:t>
      </w:r>
      <w:r>
        <w:rPr>
          <w:sz w:val="22"/>
          <w:szCs w:val="22"/>
        </w:rPr>
        <w:t>F</w:t>
      </w:r>
      <w:r w:rsidRPr="00D96896">
        <w:rPr>
          <w:sz w:val="22"/>
          <w:szCs w:val="22"/>
        </w:rPr>
        <w:t xml:space="preserve"> was part of the 2022-2024 Conservative Government's ASB Action Plan, which set out policies and programmes to tackle the issue of ASB across England and Wales. The current Labour Government continued and extended the MHF.</w:t>
      </w:r>
    </w:p>
    <w:p w14:paraId="46FAB42A" w14:textId="43476899" w:rsidR="00866FF6" w:rsidRDefault="00866FF6" w:rsidP="00866FF6">
      <w:pPr>
        <w:spacing w:after="120"/>
        <w:rPr>
          <w:sz w:val="22"/>
          <w:szCs w:val="22"/>
        </w:rPr>
      </w:pPr>
      <w:r w:rsidRPr="00E24028">
        <w:rPr>
          <w:sz w:val="22"/>
        </w:rPr>
        <w:t>Fortia Insight, formerly RSM UK Consulting LLP’s Strategy, Economics and Policy Consulting team</w:t>
      </w:r>
      <w:r w:rsidRPr="00B71F91">
        <w:rPr>
          <w:sz w:val="22"/>
        </w:rPr>
        <w:t xml:space="preserve">, </w:t>
      </w:r>
      <w:r>
        <w:rPr>
          <w:sz w:val="22"/>
          <w:szCs w:val="22"/>
        </w:rPr>
        <w:t>together with Leaders Unlocked (LU), were commissioned by DCMS and The National Lottery Community Fund to conduct a process and impact evaluation of the MHF phases 1 and 2</w:t>
      </w:r>
      <w:r>
        <w:rPr>
          <w:rStyle w:val="FootnoteReference"/>
          <w:sz w:val="22"/>
          <w:szCs w:val="22"/>
        </w:rPr>
        <w:footnoteReference w:id="4"/>
      </w:r>
      <w:r>
        <w:rPr>
          <w:sz w:val="22"/>
          <w:szCs w:val="22"/>
        </w:rPr>
        <w:t>. This second interim evaluation report brings together evidence to assess the delivery and impact of phase 2 of the MHF. It draws on comprehensive data collection, including online surveys with 166 grantholders and 515 YP; in-depth interviews with 43 grantholders, 51 YP, and 2 national and 9 local stakeholders; and monitoring information from 238 grantholders. The findings cover the period from November 2024 to September 2025 and build upon the first interim report that covered the period from January to October 2024 and was published in 2025</w:t>
      </w:r>
      <w:r>
        <w:rPr>
          <w:sz w:val="22"/>
          <w:szCs w:val="22"/>
          <w:vertAlign w:val="superscript"/>
        </w:rPr>
        <w:footnoteReference w:id="5"/>
      </w:r>
      <w:r>
        <w:rPr>
          <w:sz w:val="22"/>
          <w:szCs w:val="22"/>
        </w:rPr>
        <w:t xml:space="preserve">. This document is a short version of the most important findings in the full report. </w:t>
      </w:r>
    </w:p>
    <w:p w14:paraId="1ADE996F" w14:textId="77777777" w:rsidR="00866FF6" w:rsidRPr="00FA5E66" w:rsidRDefault="00866FF6" w:rsidP="00866FF6">
      <w:pPr>
        <w:pBdr>
          <w:top w:val="nil"/>
          <w:left w:val="nil"/>
          <w:bottom w:val="nil"/>
          <w:right w:val="nil"/>
          <w:between w:val="nil"/>
        </w:pBdr>
        <w:spacing w:before="120" w:after="120"/>
        <w:rPr>
          <w:sz w:val="22"/>
          <w:szCs w:val="22"/>
        </w:rPr>
      </w:pPr>
      <w:r w:rsidRPr="00FA5E66">
        <w:rPr>
          <w:sz w:val="22"/>
          <w:szCs w:val="22"/>
        </w:rPr>
        <w:t>The</w:t>
      </w:r>
      <w:r>
        <w:rPr>
          <w:sz w:val="22"/>
          <w:szCs w:val="22"/>
        </w:rPr>
        <w:t xml:space="preserve"> third and</w:t>
      </w:r>
      <w:r w:rsidRPr="00FA5E66">
        <w:rPr>
          <w:sz w:val="22"/>
          <w:szCs w:val="22"/>
        </w:rPr>
        <w:t xml:space="preserve"> final </w:t>
      </w:r>
      <w:r>
        <w:rPr>
          <w:sz w:val="22"/>
          <w:szCs w:val="22"/>
        </w:rPr>
        <w:t xml:space="preserve">evaluation </w:t>
      </w:r>
      <w:r w:rsidRPr="00FA5E66">
        <w:rPr>
          <w:sz w:val="22"/>
          <w:szCs w:val="22"/>
        </w:rPr>
        <w:t>report</w:t>
      </w:r>
      <w:r>
        <w:rPr>
          <w:sz w:val="22"/>
          <w:szCs w:val="22"/>
        </w:rPr>
        <w:t xml:space="preserve"> of the MHF phase 2 is</w:t>
      </w:r>
      <w:r w:rsidRPr="00FA5E66">
        <w:rPr>
          <w:sz w:val="22"/>
          <w:szCs w:val="22"/>
        </w:rPr>
        <w:t xml:space="preserve"> planned for September 2026. The </w:t>
      </w:r>
      <w:r w:rsidRPr="00FA5E66">
        <w:rPr>
          <w:b/>
          <w:bCs/>
          <w:sz w:val="22"/>
          <w:szCs w:val="22"/>
        </w:rPr>
        <w:t xml:space="preserve">final phase of fieldwork with grantholders </w:t>
      </w:r>
      <w:r w:rsidRPr="00FA5E66">
        <w:rPr>
          <w:sz w:val="22"/>
          <w:szCs w:val="22"/>
        </w:rPr>
        <w:t>will build on the findings presented here to provide a more complete picture of the MHF's impact. It will specifically seek to:</w:t>
      </w:r>
    </w:p>
    <w:p w14:paraId="68B0F98F" w14:textId="77777777" w:rsidR="00866FF6" w:rsidRPr="00FA5E66" w:rsidRDefault="00866FF6" w:rsidP="00293FB1">
      <w:pPr>
        <w:numPr>
          <w:ilvl w:val="0"/>
          <w:numId w:val="8"/>
        </w:numPr>
        <w:pBdr>
          <w:top w:val="nil"/>
          <w:left w:val="nil"/>
          <w:bottom w:val="nil"/>
          <w:right w:val="nil"/>
          <w:between w:val="nil"/>
        </w:pBdr>
        <w:spacing w:before="120" w:after="120"/>
      </w:pPr>
      <w:r w:rsidRPr="00FA5E66">
        <w:rPr>
          <w:sz w:val="22"/>
          <w:szCs w:val="22"/>
        </w:rPr>
        <w:t>Understand what types of mentoring, whether formal or informal, and with staff or with older peers, grantholders deliver, and how they deliver them.</w:t>
      </w:r>
    </w:p>
    <w:p w14:paraId="6862D2AA" w14:textId="77777777" w:rsidR="00866FF6" w:rsidRPr="00FA5E66" w:rsidRDefault="00866FF6" w:rsidP="00293FB1">
      <w:pPr>
        <w:numPr>
          <w:ilvl w:val="0"/>
          <w:numId w:val="8"/>
        </w:numPr>
        <w:pBdr>
          <w:top w:val="nil"/>
          <w:left w:val="nil"/>
          <w:bottom w:val="nil"/>
          <w:right w:val="nil"/>
          <w:between w:val="nil"/>
        </w:pBdr>
        <w:spacing w:before="120" w:after="120"/>
      </w:pPr>
      <w:r w:rsidRPr="00FA5E66">
        <w:rPr>
          <w:sz w:val="22"/>
          <w:szCs w:val="22"/>
        </w:rPr>
        <w:t>Explore the pathways that exist for YP after they attend activities funded through the MHF, either with the grantholder or externally.</w:t>
      </w:r>
    </w:p>
    <w:p w14:paraId="3238BD4B" w14:textId="77777777" w:rsidR="00866FF6" w:rsidRPr="00FA5E66" w:rsidRDefault="00866FF6" w:rsidP="00293FB1">
      <w:pPr>
        <w:numPr>
          <w:ilvl w:val="0"/>
          <w:numId w:val="8"/>
        </w:numPr>
        <w:pBdr>
          <w:top w:val="nil"/>
          <w:left w:val="nil"/>
          <w:bottom w:val="nil"/>
          <w:right w:val="nil"/>
          <w:between w:val="nil"/>
        </w:pBdr>
        <w:spacing w:before="120" w:after="120"/>
      </w:pPr>
      <w:r w:rsidRPr="00FA5E66">
        <w:rPr>
          <w:sz w:val="22"/>
          <w:szCs w:val="22"/>
        </w:rPr>
        <w:t>Collect evidence of how grantholders incorporated youth voice into the design of their activities.</w:t>
      </w:r>
    </w:p>
    <w:p w14:paraId="45C2B18D" w14:textId="77777777" w:rsidR="00866FF6" w:rsidRPr="00FA5E66" w:rsidRDefault="00866FF6" w:rsidP="00293FB1">
      <w:pPr>
        <w:numPr>
          <w:ilvl w:val="0"/>
          <w:numId w:val="8"/>
        </w:numPr>
        <w:pBdr>
          <w:top w:val="nil"/>
          <w:left w:val="nil"/>
          <w:bottom w:val="nil"/>
          <w:right w:val="nil"/>
          <w:between w:val="nil"/>
        </w:pBdr>
        <w:spacing w:before="120" w:after="120"/>
      </w:pPr>
      <w:r w:rsidRPr="00FA5E66">
        <w:rPr>
          <w:sz w:val="22"/>
          <w:szCs w:val="22"/>
        </w:rPr>
        <w:t xml:space="preserve">Collect evidence of what, if anything, grantholders learned from their experience with the MHF and what they have done differently or plan to do differently </w:t>
      </w:r>
      <w:proofErr w:type="gramStart"/>
      <w:r w:rsidRPr="00FA5E66">
        <w:rPr>
          <w:sz w:val="22"/>
          <w:szCs w:val="22"/>
        </w:rPr>
        <w:t>as a result of</w:t>
      </w:r>
      <w:proofErr w:type="gramEnd"/>
      <w:r w:rsidRPr="00FA5E66">
        <w:rPr>
          <w:sz w:val="22"/>
          <w:szCs w:val="22"/>
        </w:rPr>
        <w:t xml:space="preserve"> their experience with the MHF.</w:t>
      </w:r>
    </w:p>
    <w:p w14:paraId="592236C1" w14:textId="77777777" w:rsidR="00866FF6" w:rsidRPr="00FA5E66" w:rsidRDefault="00866FF6" w:rsidP="00293FB1">
      <w:pPr>
        <w:numPr>
          <w:ilvl w:val="0"/>
          <w:numId w:val="8"/>
        </w:numPr>
        <w:pBdr>
          <w:top w:val="nil"/>
          <w:left w:val="nil"/>
          <w:bottom w:val="nil"/>
          <w:right w:val="nil"/>
          <w:between w:val="nil"/>
        </w:pBdr>
        <w:spacing w:before="120" w:after="120"/>
      </w:pPr>
      <w:r w:rsidRPr="00FA5E66">
        <w:rPr>
          <w:sz w:val="22"/>
          <w:szCs w:val="22"/>
        </w:rPr>
        <w:t xml:space="preserve">Collect further insights about how community perceptions of YP have changed </w:t>
      </w:r>
      <w:proofErr w:type="gramStart"/>
      <w:r w:rsidRPr="00FA5E66">
        <w:rPr>
          <w:sz w:val="22"/>
          <w:szCs w:val="22"/>
        </w:rPr>
        <w:t>as a result of</w:t>
      </w:r>
      <w:proofErr w:type="gramEnd"/>
      <w:r w:rsidRPr="00FA5E66">
        <w:rPr>
          <w:sz w:val="22"/>
          <w:szCs w:val="22"/>
        </w:rPr>
        <w:t xml:space="preserve"> the MHF.</w:t>
      </w:r>
    </w:p>
    <w:p w14:paraId="2161729E" w14:textId="77777777" w:rsidR="00927195" w:rsidRPr="00E02704" w:rsidRDefault="00927195" w:rsidP="00E02704">
      <w:pPr>
        <w:pStyle w:val="Heading3"/>
        <w:numPr>
          <w:ilvl w:val="0"/>
          <w:numId w:val="0"/>
        </w:numPr>
      </w:pPr>
      <w:r w:rsidRPr="00E02704">
        <w:t>Method overview</w:t>
      </w:r>
      <w:bookmarkEnd w:id="0"/>
    </w:p>
    <w:p w14:paraId="259A327C" w14:textId="77777777" w:rsidR="008B746E" w:rsidRDefault="008B746E" w:rsidP="008B746E">
      <w:pPr>
        <w:pBdr>
          <w:top w:val="nil"/>
          <w:left w:val="nil"/>
          <w:bottom w:val="nil"/>
          <w:right w:val="nil"/>
          <w:between w:val="nil"/>
        </w:pBdr>
        <w:spacing w:before="120" w:after="120"/>
        <w:rPr>
          <w:sz w:val="22"/>
          <w:szCs w:val="22"/>
        </w:rPr>
      </w:pPr>
      <w:r>
        <w:rPr>
          <w:sz w:val="22"/>
          <w:szCs w:val="22"/>
        </w:rPr>
        <w:t xml:space="preserve">The evaluation combines process and impact evaluation strands. The </w:t>
      </w:r>
      <w:r>
        <w:rPr>
          <w:b/>
          <w:bCs/>
          <w:sz w:val="22"/>
          <w:szCs w:val="22"/>
        </w:rPr>
        <w:t>process evaluation</w:t>
      </w:r>
      <w:r>
        <w:rPr>
          <w:sz w:val="22"/>
          <w:szCs w:val="22"/>
        </w:rPr>
        <w:t xml:space="preserve"> explores stakeholders’ experiences of the MHF delivery, the reach of the MHF, and the types of activities delivered and for whom. The </w:t>
      </w:r>
      <w:r>
        <w:rPr>
          <w:b/>
          <w:bCs/>
          <w:sz w:val="22"/>
          <w:szCs w:val="22"/>
        </w:rPr>
        <w:t>impact evaluation</w:t>
      </w:r>
      <w:r>
        <w:rPr>
          <w:sz w:val="22"/>
          <w:szCs w:val="22"/>
        </w:rPr>
        <w:t xml:space="preserve"> examines the outcomes and impacts achieved for YP participating in activities, the organisations involved in the MHF, and the communities where funded projects are based. It also considers stakeholders’ views on what constitutes ASB, how the MHF has influenced ASB, and the factors that reduce risk or strengthen protective factors for ASB.</w:t>
      </w:r>
    </w:p>
    <w:p w14:paraId="278F8748" w14:textId="77777777" w:rsidR="008B746E" w:rsidRDefault="008B746E" w:rsidP="008B746E">
      <w:pPr>
        <w:pBdr>
          <w:top w:val="nil"/>
          <w:left w:val="nil"/>
          <w:bottom w:val="nil"/>
          <w:right w:val="nil"/>
          <w:between w:val="nil"/>
        </w:pBdr>
        <w:spacing w:before="120" w:after="120"/>
        <w:rPr>
          <w:sz w:val="22"/>
          <w:szCs w:val="22"/>
        </w:rPr>
      </w:pPr>
      <w:r>
        <w:rPr>
          <w:sz w:val="22"/>
          <w:szCs w:val="22"/>
        </w:rPr>
        <w:t xml:space="preserve">To assess the impact of the MHF on YP, the evaluation uses a </w:t>
      </w:r>
      <w:r>
        <w:rPr>
          <w:b/>
          <w:bCs/>
          <w:sz w:val="22"/>
          <w:szCs w:val="22"/>
        </w:rPr>
        <w:t>dose–response approach</w:t>
      </w:r>
      <w:r>
        <w:rPr>
          <w:sz w:val="22"/>
          <w:szCs w:val="22"/>
        </w:rPr>
        <w:t xml:space="preserve">, which analyses whether the frequency and duration of participation in the MHF-funded activities is associated with differences in outcomes such as wellbeing, relationship-building, </w:t>
      </w:r>
      <w:r>
        <w:rPr>
          <w:sz w:val="22"/>
          <w:szCs w:val="22"/>
        </w:rPr>
        <w:lastRenderedPageBreak/>
        <w:t>and involvement in ASB, in the absence of a comparison group</w:t>
      </w:r>
      <w:r>
        <w:rPr>
          <w:rStyle w:val="FootnoteReference"/>
          <w:sz w:val="22"/>
          <w:szCs w:val="22"/>
        </w:rPr>
        <w:footnoteReference w:id="6"/>
      </w:r>
      <w:r>
        <w:rPr>
          <w:sz w:val="22"/>
          <w:szCs w:val="22"/>
        </w:rPr>
        <w:t>. The evaluation applies contribution analysis to test whether the MHF’s Theory of Change (ToC) remains valid and to understand the extent to which observed outcomes can reasonably be attributed to the MHF.</w:t>
      </w:r>
    </w:p>
    <w:p w14:paraId="48458C87" w14:textId="77777777" w:rsidR="008B746E" w:rsidRDefault="008B746E" w:rsidP="008B746E">
      <w:pPr>
        <w:pBdr>
          <w:top w:val="nil"/>
          <w:left w:val="nil"/>
          <w:bottom w:val="nil"/>
          <w:right w:val="nil"/>
          <w:between w:val="nil"/>
        </w:pBdr>
        <w:spacing w:before="120" w:after="120"/>
        <w:rPr>
          <w:sz w:val="22"/>
          <w:szCs w:val="22"/>
        </w:rPr>
      </w:pPr>
      <w:r w:rsidRPr="00AB3EB4">
        <w:rPr>
          <w:b/>
          <w:bCs/>
          <w:sz w:val="22"/>
          <w:szCs w:val="22"/>
        </w:rPr>
        <w:t>Youth voice</w:t>
      </w:r>
      <w:r>
        <w:rPr>
          <w:sz w:val="22"/>
          <w:szCs w:val="22"/>
        </w:rPr>
        <w:t xml:space="preserve"> is a central feature of the evaluation. A group of young evaluators conducted interviews with YP during in-person ‘site visits’ to the MHF-funded projects. They also reviewed interview topic guides for YP interviews and presented their findings to DCMS and The National Lottery Community Fund. This approach ensures that YP’s perspectives and experiences are embedded in the evaluation findings.</w:t>
      </w:r>
    </w:p>
    <w:p w14:paraId="2F2CF9CD" w14:textId="25ED71DB" w:rsidR="008B746E" w:rsidRDefault="00EE45E8" w:rsidP="008B746E">
      <w:pPr>
        <w:pBdr>
          <w:top w:val="nil"/>
          <w:left w:val="nil"/>
          <w:bottom w:val="nil"/>
          <w:right w:val="nil"/>
          <w:between w:val="nil"/>
        </w:pBdr>
        <w:spacing w:before="120" w:after="120"/>
        <w:rPr>
          <w:sz w:val="22"/>
          <w:szCs w:val="22"/>
        </w:rPr>
      </w:pPr>
      <w:r w:rsidRPr="00EE45E8">
        <w:rPr>
          <w:sz w:val="22"/>
          <w:szCs w:val="22"/>
        </w:rPr>
        <w:t xml:space="preserve">Google </w:t>
      </w:r>
      <w:r w:rsidR="008B746E" w:rsidRPr="00773E30">
        <w:rPr>
          <w:sz w:val="22"/>
          <w:szCs w:val="22"/>
        </w:rPr>
        <w:t>Gemini was used to draft the executive summary and condensed findings and lessons learned of this report</w:t>
      </w:r>
      <w:r w:rsidR="008B746E">
        <w:rPr>
          <w:sz w:val="22"/>
          <w:szCs w:val="22"/>
        </w:rPr>
        <w:t xml:space="preserve"> and the full report</w:t>
      </w:r>
      <w:r w:rsidR="008B746E" w:rsidRPr="00773E30">
        <w:rPr>
          <w:sz w:val="22"/>
          <w:szCs w:val="22"/>
        </w:rPr>
        <w:t>. The resulting drafts were manually reviewed (cross-checked and revised) by the evaluation team to verify that all information in them was factual and that the interpretation of that information was appropriate. AI was used in no other way in the evaluation. The evaluation team retained full responsibility for methodology, analysis, findings, and recommendations.</w:t>
      </w:r>
    </w:p>
    <w:p w14:paraId="6B77F062" w14:textId="6666746F" w:rsidR="008B746E" w:rsidRDefault="008B746E" w:rsidP="008B746E">
      <w:pPr>
        <w:pBdr>
          <w:top w:val="nil"/>
          <w:left w:val="nil"/>
          <w:bottom w:val="nil"/>
          <w:right w:val="nil"/>
          <w:between w:val="nil"/>
        </w:pBdr>
        <w:spacing w:before="120" w:after="120"/>
        <w:rPr>
          <w:sz w:val="22"/>
          <w:szCs w:val="22"/>
        </w:rPr>
      </w:pPr>
      <w:r>
        <w:rPr>
          <w:sz w:val="22"/>
          <w:szCs w:val="22"/>
        </w:rPr>
        <w:t xml:space="preserve">Further detail on the methodology, the research questions, analytical approaches and supporting data tables, is provided in </w:t>
      </w:r>
      <w:sdt>
        <w:sdtPr>
          <w:tag w:val="goog_rdk_15"/>
          <w:id w:val="-1070362870"/>
        </w:sdtPr>
        <w:sdtEndPr/>
        <w:sdtContent/>
      </w:sdt>
      <w:r w:rsidR="002B6DF7">
        <w:rPr>
          <w:sz w:val="22"/>
          <w:szCs w:val="22"/>
        </w:rPr>
        <w:t>A</w:t>
      </w:r>
      <w:r>
        <w:rPr>
          <w:sz w:val="22"/>
          <w:szCs w:val="22"/>
        </w:rPr>
        <w:t>nnex B of the full report.</w:t>
      </w:r>
    </w:p>
    <w:p w14:paraId="1CD427DD" w14:textId="77777777" w:rsidR="00892B5A" w:rsidRPr="00E02704" w:rsidRDefault="00892B5A" w:rsidP="00E02704">
      <w:pPr>
        <w:pStyle w:val="Heading3"/>
        <w:numPr>
          <w:ilvl w:val="0"/>
          <w:numId w:val="0"/>
        </w:numPr>
      </w:pPr>
      <w:r w:rsidRPr="00E02704">
        <w:t>Key findings</w:t>
      </w:r>
    </w:p>
    <w:p w14:paraId="120A0D53" w14:textId="77777777" w:rsidR="00892B5A" w:rsidRDefault="00892B5A" w:rsidP="00892B5A">
      <w:pPr>
        <w:pBdr>
          <w:top w:val="nil"/>
          <w:left w:val="nil"/>
          <w:bottom w:val="nil"/>
          <w:right w:val="nil"/>
          <w:between w:val="nil"/>
        </w:pBdr>
        <w:spacing w:before="120" w:after="120"/>
        <w:rPr>
          <w:sz w:val="22"/>
          <w:szCs w:val="22"/>
        </w:rPr>
      </w:pPr>
      <w:r>
        <w:rPr>
          <w:sz w:val="22"/>
          <w:szCs w:val="22"/>
        </w:rPr>
        <w:t>The MHF has substantially expanded the scale and reach of youth provision in targeted areas through 238 grantholders. With their grants from the MHF, grantholders hired new staff and extended the working hours of existing staff. They trained staff and volunteers, paid for venue hire, and purchased new equipment. In total, the MHF grantholders delivered at least 2.6 million additional hours of youth activities by June 2025, substantially exceeding the MHF’s headline target of at least one million additional hours.</w:t>
      </w:r>
    </w:p>
    <w:p w14:paraId="26ADD9EF" w14:textId="77777777" w:rsidR="00892B5A" w:rsidRDefault="00892B5A" w:rsidP="00892B5A">
      <w:pPr>
        <w:pBdr>
          <w:top w:val="nil"/>
          <w:left w:val="nil"/>
          <w:bottom w:val="nil"/>
          <w:right w:val="nil"/>
          <w:between w:val="nil"/>
        </w:pBdr>
        <w:spacing w:before="120" w:after="120"/>
        <w:rPr>
          <w:sz w:val="22"/>
          <w:szCs w:val="22"/>
        </w:rPr>
      </w:pPr>
      <w:r>
        <w:rPr>
          <w:sz w:val="22"/>
          <w:szCs w:val="22"/>
        </w:rPr>
        <w:t>These additional activities varied: the most common was sports and informal physical activities (36% of grantholder survey respondents offered this as their main activity), followed by workshops and drop-in sessions such as cooking classes (13%). Other types of activities included general open access youth club sessions (9%), special interest clubs such as science clubs (5%), and art and creative or IT and media activities (4% each). A small minority of 3% or less of grantholders who completed the grantholder survey offered the following types of activities as their main activity: one-to-one support mentoring, volunteering activities, detached or street-based youth work, staff training, or volunteer training. Additionally, 14% indicated they offered multi-activity provision. Despite the substantial number of additional hours of positive activities, many grantholders interviewed by the evaluation team reported additional unmet demand. These grantholders operated waiting lists or reduced their advertising to manage demand from YP.</w:t>
      </w:r>
    </w:p>
    <w:p w14:paraId="768E62D0" w14:textId="77777777" w:rsidR="00892B5A" w:rsidRDefault="00892B5A" w:rsidP="00892B5A">
      <w:pPr>
        <w:pBdr>
          <w:top w:val="nil"/>
          <w:left w:val="nil"/>
          <w:bottom w:val="nil"/>
          <w:right w:val="nil"/>
          <w:between w:val="nil"/>
        </w:pBdr>
        <w:spacing w:before="120" w:after="120"/>
        <w:rPr>
          <w:sz w:val="22"/>
          <w:szCs w:val="22"/>
        </w:rPr>
      </w:pPr>
      <w:r>
        <w:rPr>
          <w:sz w:val="22"/>
          <w:szCs w:val="22"/>
        </w:rPr>
        <w:t xml:space="preserve">A flexible approach to the use of funding was important to enable grantholders to meet the demand from YP. It was a key facilitator to the success of the MHF, enabled by DCMS’s partnership with The National Lottery Community Fund. Both DCMS and The National Lottery Community Fund can be flexible in how and when grant funds are used. However, The National Lottery Community Fund’s </w:t>
      </w:r>
      <w:r w:rsidRPr="008828F5">
        <w:rPr>
          <w:sz w:val="22"/>
          <w:szCs w:val="22"/>
        </w:rPr>
        <w:t xml:space="preserve">grant management processes enable grantholders to pivot activities to meet demand, </w:t>
      </w:r>
      <w:proofErr w:type="gramStart"/>
      <w:r w:rsidRPr="008828F5">
        <w:rPr>
          <w:sz w:val="22"/>
          <w:szCs w:val="22"/>
        </w:rPr>
        <w:t>as long as</w:t>
      </w:r>
      <w:proofErr w:type="gramEnd"/>
      <w:r w:rsidRPr="008828F5">
        <w:rPr>
          <w:sz w:val="22"/>
          <w:szCs w:val="22"/>
        </w:rPr>
        <w:t xml:space="preserve"> the activities achieve the desired outcomes</w:t>
      </w:r>
      <w:r>
        <w:rPr>
          <w:sz w:val="22"/>
          <w:szCs w:val="22"/>
        </w:rPr>
        <w:t>, without the need to make changes to grant agreements</w:t>
      </w:r>
      <w:r w:rsidRPr="008828F5">
        <w:rPr>
          <w:sz w:val="22"/>
          <w:szCs w:val="22"/>
        </w:rPr>
        <w:t>.</w:t>
      </w:r>
      <w:r>
        <w:rPr>
          <w:sz w:val="22"/>
          <w:szCs w:val="22"/>
        </w:rPr>
        <w:t xml:space="preserve"> </w:t>
      </w:r>
    </w:p>
    <w:p w14:paraId="4F71C038" w14:textId="77777777" w:rsidR="00892B5A" w:rsidRDefault="00892B5A" w:rsidP="00892B5A">
      <w:pPr>
        <w:pBdr>
          <w:top w:val="nil"/>
          <w:left w:val="nil"/>
          <w:bottom w:val="nil"/>
          <w:right w:val="nil"/>
          <w:between w:val="nil"/>
        </w:pBdr>
        <w:spacing w:before="120" w:after="120"/>
        <w:rPr>
          <w:sz w:val="22"/>
          <w:szCs w:val="22"/>
        </w:rPr>
      </w:pPr>
      <w:r>
        <w:rPr>
          <w:sz w:val="22"/>
          <w:szCs w:val="22"/>
        </w:rPr>
        <w:lastRenderedPageBreak/>
        <w:t>For YP, the evaluation finds a complex but insightful picture where the quality of relationships with youth workers has emerged as a critical factor for positive change. This is in line with the findings of previous research (Rhodes, 2004; Jones et al., 2011). YP attending MHF activities experience increased confidence, alongside other intended outcomes such as improved mental and physical wellbeing. The evaluation also found evidence of unanticipated outcomes for YP, such as the development of positive relationships with their older peers.</w:t>
      </w:r>
    </w:p>
    <w:p w14:paraId="59E80B85" w14:textId="77777777" w:rsidR="00892B5A" w:rsidRDefault="00892B5A" w:rsidP="00892B5A">
      <w:pPr>
        <w:pBdr>
          <w:top w:val="nil"/>
          <w:left w:val="nil"/>
          <w:bottom w:val="nil"/>
          <w:right w:val="nil"/>
          <w:between w:val="nil"/>
        </w:pBdr>
        <w:spacing w:before="120" w:after="120"/>
        <w:rPr>
          <w:sz w:val="22"/>
          <w:szCs w:val="22"/>
        </w:rPr>
      </w:pPr>
      <w:r>
        <w:rPr>
          <w:sz w:val="22"/>
          <w:szCs w:val="22"/>
        </w:rPr>
        <w:t xml:space="preserve">There is some evidence from grantholders of improved integration of YP and youth organisations in their communities. However, importantly, the evaluation did not collect insights from members of local communities to report on the latter’s perceptions of youth ASB. This is important because these perspectives would provide crucial insights into the extent to which the types of activities the MHF funded can meaningfully shift the dial on community views of YP. </w:t>
      </w:r>
      <w:r w:rsidRPr="00622D40">
        <w:rPr>
          <w:sz w:val="22"/>
          <w:szCs w:val="22"/>
        </w:rPr>
        <w:t>Community perceptions will be a specific area of focus for the evaluation of Phase 3 of the MHF.</w:t>
      </w:r>
    </w:p>
    <w:p w14:paraId="360ECBBA" w14:textId="77777777" w:rsidR="00892B5A" w:rsidRDefault="00892B5A" w:rsidP="00892B5A">
      <w:pPr>
        <w:pBdr>
          <w:top w:val="nil"/>
          <w:left w:val="nil"/>
          <w:bottom w:val="nil"/>
          <w:right w:val="nil"/>
          <w:between w:val="nil"/>
        </w:pBdr>
        <w:spacing w:before="120" w:after="120"/>
        <w:rPr>
          <w:sz w:val="22"/>
          <w:szCs w:val="22"/>
        </w:rPr>
      </w:pPr>
      <w:r>
        <w:rPr>
          <w:sz w:val="22"/>
          <w:szCs w:val="22"/>
        </w:rPr>
        <w:t>Further detail on key findings is listed below.</w:t>
      </w:r>
    </w:p>
    <w:p w14:paraId="70AA7350" w14:textId="77777777" w:rsidR="00892B5A" w:rsidRPr="00E02704" w:rsidRDefault="00892B5A" w:rsidP="00E02704">
      <w:pPr>
        <w:pStyle w:val="Heading4"/>
        <w:numPr>
          <w:ilvl w:val="0"/>
          <w:numId w:val="0"/>
        </w:numPr>
        <w:rPr>
          <w:b w:val="0"/>
          <w:szCs w:val="22"/>
        </w:rPr>
      </w:pPr>
      <w:r w:rsidRPr="00E02704">
        <w:rPr>
          <w:szCs w:val="22"/>
        </w:rPr>
        <w:t>Grantholder experience and programme delivery</w:t>
      </w:r>
    </w:p>
    <w:p w14:paraId="5616AE9C" w14:textId="77777777" w:rsidR="00892B5A" w:rsidRDefault="00892B5A" w:rsidP="00293FB1">
      <w:pPr>
        <w:numPr>
          <w:ilvl w:val="0"/>
          <w:numId w:val="9"/>
        </w:numPr>
        <w:pBdr>
          <w:top w:val="nil"/>
          <w:left w:val="nil"/>
          <w:bottom w:val="nil"/>
          <w:right w:val="nil"/>
          <w:between w:val="nil"/>
        </w:pBdr>
        <w:spacing w:before="120" w:after="120"/>
      </w:pPr>
      <w:r>
        <w:rPr>
          <w:b/>
          <w:bCs/>
          <w:sz w:val="22"/>
          <w:szCs w:val="22"/>
        </w:rPr>
        <w:t>Positive delivery experience and flexible funding:</w:t>
      </w:r>
      <w:r>
        <w:rPr>
          <w:sz w:val="22"/>
          <w:szCs w:val="22"/>
        </w:rPr>
        <w:t xml:space="preserve"> grantholders reported a very positive experience of the MHF’s grant administration processes, with 95% satisfied with the clarity of communications and 94% with the speed of responses from The National Lottery Community Fund. The flexibility of the grant, allowing organisations to adapt spending in response to the evolving needs of YP, was consistently highlighted as a critical success factor for effective delivery. One grantholder noted, </w:t>
      </w:r>
      <w:r>
        <w:rPr>
          <w:i/>
          <w:iCs/>
          <w:sz w:val="22"/>
          <w:szCs w:val="22"/>
        </w:rPr>
        <w:t>"It was really helpful to be able to adjust it [the budget]; we weren’t penalised"</w:t>
      </w:r>
      <w:r>
        <w:rPr>
          <w:sz w:val="22"/>
          <w:szCs w:val="22"/>
        </w:rPr>
        <w:t>.</w:t>
      </w:r>
    </w:p>
    <w:p w14:paraId="3F357BE6" w14:textId="77777777" w:rsidR="00892B5A" w:rsidRDefault="00892B5A" w:rsidP="00293FB1">
      <w:pPr>
        <w:numPr>
          <w:ilvl w:val="0"/>
          <w:numId w:val="9"/>
        </w:numPr>
        <w:pBdr>
          <w:top w:val="nil"/>
          <w:left w:val="nil"/>
          <w:bottom w:val="nil"/>
          <w:right w:val="nil"/>
          <w:between w:val="nil"/>
        </w:pBdr>
        <w:spacing w:before="120" w:after="120"/>
      </w:pPr>
      <w:r>
        <w:rPr>
          <w:b/>
          <w:bCs/>
          <w:sz w:val="22"/>
          <w:szCs w:val="22"/>
        </w:rPr>
        <w:t>Funding usage and activities:</w:t>
      </w:r>
      <w:r>
        <w:rPr>
          <w:sz w:val="22"/>
          <w:szCs w:val="22"/>
        </w:rPr>
        <w:t xml:space="preserve"> The MHF grant was primarily used to cover core delivery costs, including paying for youth worker time (86%), purchasing equipment and resources (79%), recruiting additional youth workers (61%), and hiring venues (61%)</w:t>
      </w:r>
      <w:r>
        <w:rPr>
          <w:rStyle w:val="FootnoteReference"/>
          <w:sz w:val="22"/>
          <w:szCs w:val="22"/>
        </w:rPr>
        <w:footnoteReference w:id="7"/>
      </w:r>
      <w:r>
        <w:rPr>
          <w:sz w:val="22"/>
          <w:szCs w:val="22"/>
        </w:rPr>
        <w:t>. Consistent with the first interim report, sports and informal physical activities were the most common type of provision offered (36%), often used as a gateway to engage YP before introducing them to other developmental activities such as mentoring, issue-based workshops (e.g., on knife crime or online safety), and practical skills sessions.</w:t>
      </w:r>
    </w:p>
    <w:p w14:paraId="01DF0F9C" w14:textId="77777777" w:rsidR="00892B5A" w:rsidRDefault="00892B5A" w:rsidP="00293FB1">
      <w:pPr>
        <w:numPr>
          <w:ilvl w:val="0"/>
          <w:numId w:val="9"/>
        </w:numPr>
        <w:pBdr>
          <w:top w:val="nil"/>
          <w:left w:val="nil"/>
          <w:bottom w:val="nil"/>
          <w:right w:val="nil"/>
          <w:between w:val="nil"/>
        </w:pBdr>
        <w:spacing w:before="120" w:after="120"/>
      </w:pPr>
      <w:r>
        <w:rPr>
          <w:b/>
          <w:bCs/>
          <w:sz w:val="22"/>
          <w:szCs w:val="22"/>
        </w:rPr>
        <w:t>Reaching the target beneficiaries:</w:t>
      </w:r>
      <w:r>
        <w:rPr>
          <w:sz w:val="22"/>
          <w:szCs w:val="22"/>
        </w:rPr>
        <w:t xml:space="preserve"> Provision is effectively targeted at YP from </w:t>
      </w:r>
      <w:sdt>
        <w:sdtPr>
          <w:tag w:val="goog_rdk_17"/>
          <w:id w:val="-108938210"/>
        </w:sdtPr>
        <w:sdtEndPr/>
        <w:sdtContent/>
      </w:sdt>
      <w:r>
        <w:rPr>
          <w:sz w:val="22"/>
          <w:szCs w:val="22"/>
        </w:rPr>
        <w:t xml:space="preserve">deprived areas (95% of grantholders). Furthermore, 79% of grantholders targeted YP from minority ethnic backgrounds. The MHF is likely reaching those most at risk of ASB, with 90% of grantholders reporting that their target groups are </w:t>
      </w:r>
      <w:sdt>
        <w:sdtPr>
          <w:tag w:val="goog_rdk_18"/>
          <w:id w:val="-1644924308"/>
        </w:sdtPr>
        <w:sdtEndPr/>
        <w:sdtContent/>
      </w:sdt>
      <w:r>
        <w:rPr>
          <w:sz w:val="22"/>
          <w:szCs w:val="22"/>
        </w:rPr>
        <w:t>at risk of intimidatory behaviour</w:t>
      </w:r>
      <w:r>
        <w:rPr>
          <w:rStyle w:val="FootnoteReference"/>
          <w:sz w:val="22"/>
          <w:szCs w:val="22"/>
        </w:rPr>
        <w:footnoteReference w:id="8"/>
      </w:r>
      <w:r>
        <w:rPr>
          <w:sz w:val="22"/>
          <w:szCs w:val="22"/>
        </w:rPr>
        <w:t xml:space="preserve">, 73% at risk of causing nuisance to neighbours, and 64% at risk of gang-related activity. </w:t>
      </w:r>
      <w:r w:rsidRPr="009359D8">
        <w:rPr>
          <w:sz w:val="22"/>
          <w:szCs w:val="22"/>
        </w:rPr>
        <w:t xml:space="preserve">The </w:t>
      </w:r>
      <w:r>
        <w:rPr>
          <w:sz w:val="22"/>
          <w:szCs w:val="22"/>
        </w:rPr>
        <w:t xml:space="preserve">full </w:t>
      </w:r>
      <w:r w:rsidRPr="009359D8">
        <w:rPr>
          <w:sz w:val="22"/>
          <w:szCs w:val="22"/>
        </w:rPr>
        <w:t xml:space="preserve">report identifies that structured referral pathways through the police, schools, and youth justice services are essential for engaging the highest-risk cohorts. However, there are differing views on who commits ASB. Some grantholders are not aware whether the </w:t>
      </w:r>
      <w:r>
        <w:rPr>
          <w:sz w:val="22"/>
          <w:szCs w:val="22"/>
        </w:rPr>
        <w:t>YP</w:t>
      </w:r>
      <w:r w:rsidRPr="009359D8">
        <w:rPr>
          <w:sz w:val="22"/>
          <w:szCs w:val="22"/>
        </w:rPr>
        <w:t xml:space="preserve"> attending their activities take part in ASB. In the </w:t>
      </w:r>
      <w:r>
        <w:rPr>
          <w:sz w:val="22"/>
          <w:szCs w:val="22"/>
        </w:rPr>
        <w:t>YP</w:t>
      </w:r>
      <w:r w:rsidRPr="009359D8">
        <w:rPr>
          <w:sz w:val="22"/>
          <w:szCs w:val="22"/>
        </w:rPr>
        <w:t xml:space="preserve"> survey, the most common types of ASB that </w:t>
      </w:r>
      <w:r>
        <w:rPr>
          <w:sz w:val="22"/>
          <w:szCs w:val="22"/>
        </w:rPr>
        <w:t>YP</w:t>
      </w:r>
      <w:r w:rsidRPr="009359D8">
        <w:rPr>
          <w:sz w:val="22"/>
          <w:szCs w:val="22"/>
        </w:rPr>
        <w:t xml:space="preserve"> reported taking part in were littering, hanging out in public spaces, and annoying or swearing at strangers. In interviews, almost all </w:t>
      </w:r>
      <w:r>
        <w:rPr>
          <w:sz w:val="22"/>
          <w:szCs w:val="22"/>
        </w:rPr>
        <w:t>YP</w:t>
      </w:r>
      <w:r w:rsidRPr="009359D8">
        <w:rPr>
          <w:sz w:val="22"/>
          <w:szCs w:val="22"/>
        </w:rPr>
        <w:t xml:space="preserve"> reported not taking part in any ASB. There were also differing views on what behaviours constitute ASB: for instance, depending on the context, hanging out in </w:t>
      </w:r>
      <w:r w:rsidRPr="009359D8">
        <w:rPr>
          <w:sz w:val="22"/>
          <w:szCs w:val="22"/>
        </w:rPr>
        <w:lastRenderedPageBreak/>
        <w:t>public spaces could be seen as ASB or as normal behaviour. This reinforces the complexities involved in reducing youth ASB</w:t>
      </w:r>
      <w:r>
        <w:rPr>
          <w:sz w:val="22"/>
          <w:szCs w:val="22"/>
        </w:rPr>
        <w:t>.</w:t>
      </w:r>
    </w:p>
    <w:p w14:paraId="65667A1C" w14:textId="77777777" w:rsidR="00892B5A" w:rsidRDefault="00892B5A" w:rsidP="00293FB1">
      <w:pPr>
        <w:numPr>
          <w:ilvl w:val="0"/>
          <w:numId w:val="9"/>
        </w:numPr>
        <w:pBdr>
          <w:top w:val="nil"/>
          <w:left w:val="nil"/>
          <w:bottom w:val="nil"/>
          <w:right w:val="nil"/>
          <w:between w:val="nil"/>
        </w:pBdr>
        <w:spacing w:before="120" w:after="120"/>
      </w:pPr>
      <w:r>
        <w:rPr>
          <w:b/>
          <w:bCs/>
          <w:sz w:val="22"/>
          <w:szCs w:val="22"/>
        </w:rPr>
        <w:t>Gender influences the types of activities that YP attend:</w:t>
      </w:r>
      <w:r>
        <w:rPr>
          <w:sz w:val="22"/>
          <w:szCs w:val="22"/>
        </w:rPr>
        <w:t xml:space="preserve"> In interviews most grantholders reported mixed-gender attendance. However, some noted that sports activities such as football, boxing, and gym sessions, as well as music studio activities, tended to attract more boys and young men. Boys and young men were less likely to take part in arts, creative, or youth club sessions, unless these also included a sports or music component. In response to lower engagement from girls and young women, some grantholders introduced </w:t>
      </w:r>
      <w:sdt>
        <w:sdtPr>
          <w:tag w:val="goog_rdk_19"/>
          <w:id w:val="1609803247"/>
        </w:sdtPr>
        <w:sdtEndPr/>
        <w:sdtContent/>
      </w:sdt>
      <w:r>
        <w:rPr>
          <w:sz w:val="22"/>
          <w:szCs w:val="22"/>
        </w:rPr>
        <w:t>“girls-only” sessions to create safe spaces and encourage participation among this group, which successfully increased attendance.</w:t>
      </w:r>
    </w:p>
    <w:p w14:paraId="276764FC" w14:textId="77777777" w:rsidR="00892B5A" w:rsidRDefault="00892B5A" w:rsidP="00293FB1">
      <w:pPr>
        <w:numPr>
          <w:ilvl w:val="0"/>
          <w:numId w:val="9"/>
        </w:numPr>
        <w:pBdr>
          <w:top w:val="nil"/>
          <w:left w:val="nil"/>
          <w:bottom w:val="nil"/>
          <w:right w:val="nil"/>
          <w:between w:val="nil"/>
        </w:pBdr>
        <w:spacing w:before="120" w:after="120"/>
      </w:pPr>
      <w:r>
        <w:rPr>
          <w:b/>
          <w:bCs/>
          <w:sz w:val="22"/>
          <w:szCs w:val="22"/>
        </w:rPr>
        <w:t>Organisational outcomes and sustainability concerns:</w:t>
      </w:r>
      <w:r>
        <w:rPr>
          <w:sz w:val="22"/>
          <w:szCs w:val="22"/>
        </w:rPr>
        <w:t xml:space="preserve"> The funding has significantly increased organisational capacity, with 96% of grantholders agreeing that the MHF enabled them to provide additional services they otherwise could not have delivered (2% disagreed, 1% neither agreed nor disagreed). It also strengthened local partnerships, with </w:t>
      </w:r>
      <w:sdt>
        <w:sdtPr>
          <w:tag w:val="goog_rdk_20"/>
          <w:id w:val="2065012477"/>
        </w:sdtPr>
        <w:sdtEndPr/>
        <w:sdtContent/>
      </w:sdt>
      <w:r>
        <w:rPr>
          <w:sz w:val="22"/>
          <w:szCs w:val="22"/>
        </w:rPr>
        <w:t xml:space="preserve">92% of grantholders establishing new community </w:t>
      </w:r>
      <w:proofErr w:type="gramStart"/>
      <w:r>
        <w:rPr>
          <w:sz w:val="22"/>
          <w:szCs w:val="22"/>
        </w:rPr>
        <w:t>contacts, and</w:t>
      </w:r>
      <w:proofErr w:type="gramEnd"/>
      <w:r>
        <w:rPr>
          <w:sz w:val="22"/>
          <w:szCs w:val="22"/>
        </w:rPr>
        <w:t xml:space="preserve"> raised the visibility and credibility of organisations. However, a major challenge highlighted by almost all grantholders is long-term sustainability. Many expressed significant concern about a "cliff-edge" of losing experienced staff and having to scale back their expanded provision when the MHF funding concludes. At the same time, the evidence suggests that the multi-year nature of the MHF was beneficial to grantholders and YP due to the ability to deliver positive activities over an extended </w:t>
      </w:r>
      <w:proofErr w:type="gramStart"/>
      <w:r>
        <w:rPr>
          <w:sz w:val="22"/>
          <w:szCs w:val="22"/>
        </w:rPr>
        <w:t>period of time</w:t>
      </w:r>
      <w:proofErr w:type="gramEnd"/>
      <w:r>
        <w:rPr>
          <w:sz w:val="22"/>
          <w:szCs w:val="22"/>
        </w:rPr>
        <w:t>.</w:t>
      </w:r>
    </w:p>
    <w:p w14:paraId="4499D5BD" w14:textId="77777777" w:rsidR="00892B5A" w:rsidRPr="00A91FCB" w:rsidRDefault="00892B5A" w:rsidP="00A91FCB">
      <w:pPr>
        <w:pStyle w:val="Heading4"/>
        <w:numPr>
          <w:ilvl w:val="0"/>
          <w:numId w:val="0"/>
        </w:numPr>
        <w:rPr>
          <w:szCs w:val="22"/>
        </w:rPr>
      </w:pPr>
      <w:r w:rsidRPr="00A91FCB">
        <w:rPr>
          <w:szCs w:val="22"/>
        </w:rPr>
        <w:t>Understanding the link between attendance and outcomes</w:t>
      </w:r>
    </w:p>
    <w:p w14:paraId="5CA9845B" w14:textId="77777777" w:rsidR="00892B5A" w:rsidRDefault="00892B5A" w:rsidP="00892B5A">
      <w:pPr>
        <w:pBdr>
          <w:top w:val="nil"/>
          <w:left w:val="nil"/>
          <w:bottom w:val="nil"/>
          <w:right w:val="nil"/>
          <w:between w:val="nil"/>
        </w:pBdr>
        <w:spacing w:before="120" w:after="120"/>
        <w:rPr>
          <w:sz w:val="22"/>
          <w:szCs w:val="22"/>
        </w:rPr>
      </w:pPr>
      <w:r w:rsidRPr="00EA241E">
        <w:rPr>
          <w:sz w:val="22"/>
          <w:szCs w:val="22"/>
        </w:rPr>
        <w:t>In the absence of a suitable comparison group</w:t>
      </w:r>
      <w:r>
        <w:rPr>
          <w:sz w:val="22"/>
          <w:szCs w:val="22"/>
        </w:rPr>
        <w:t xml:space="preserve">, this evaluation uses a </w:t>
      </w:r>
      <w:r>
        <w:rPr>
          <w:b/>
          <w:bCs/>
          <w:sz w:val="22"/>
          <w:szCs w:val="22"/>
        </w:rPr>
        <w:t>dose-response analysis</w:t>
      </w:r>
      <w:r>
        <w:rPr>
          <w:sz w:val="22"/>
          <w:szCs w:val="22"/>
        </w:rPr>
        <w:t xml:space="preserve"> to explore the relationship between participation and outcomes. While this approach</w:t>
      </w:r>
      <w:r w:rsidRPr="000F0307">
        <w:rPr>
          <w:sz w:val="22"/>
          <w:szCs w:val="22"/>
        </w:rPr>
        <w:t xml:space="preserve"> does not address issues such as selection effects</w:t>
      </w:r>
      <w:r>
        <w:rPr>
          <w:sz w:val="22"/>
          <w:szCs w:val="22"/>
        </w:rPr>
        <w:t xml:space="preserve">, it does </w:t>
      </w:r>
      <w:r w:rsidRPr="000F0307">
        <w:rPr>
          <w:sz w:val="22"/>
          <w:szCs w:val="22"/>
        </w:rPr>
        <w:t>allow</w:t>
      </w:r>
      <w:r>
        <w:rPr>
          <w:sz w:val="22"/>
          <w:szCs w:val="22"/>
        </w:rPr>
        <w:t xml:space="preserve"> for </w:t>
      </w:r>
      <w:r w:rsidRPr="000F0307">
        <w:rPr>
          <w:sz w:val="22"/>
          <w:szCs w:val="22"/>
        </w:rPr>
        <w:t>the assessment of the potential impact of these effects by comparing outcomes for individuals with different levels of engagement, characteristics, and geography.</w:t>
      </w:r>
      <w:r>
        <w:rPr>
          <w:sz w:val="22"/>
          <w:szCs w:val="22"/>
        </w:rPr>
        <w:t xml:space="preserve"> The findings in this second report build upon and attempt to clarify the trends identified in the previous interim report.</w:t>
      </w:r>
    </w:p>
    <w:p w14:paraId="6E4788F2" w14:textId="77777777" w:rsidR="00892B5A" w:rsidRDefault="00892B5A" w:rsidP="00293FB1">
      <w:pPr>
        <w:numPr>
          <w:ilvl w:val="0"/>
          <w:numId w:val="10"/>
        </w:numPr>
        <w:pBdr>
          <w:top w:val="nil"/>
          <w:left w:val="nil"/>
          <w:bottom w:val="nil"/>
          <w:right w:val="nil"/>
          <w:between w:val="nil"/>
        </w:pBdr>
        <w:spacing w:before="120" w:after="120"/>
      </w:pPr>
      <w:r>
        <w:rPr>
          <w:b/>
          <w:bCs/>
          <w:sz w:val="22"/>
          <w:szCs w:val="22"/>
        </w:rPr>
        <w:t>Wellbeing and involvement in ASB:</w:t>
      </w:r>
      <w:r>
        <w:rPr>
          <w:sz w:val="22"/>
          <w:szCs w:val="22"/>
        </w:rPr>
        <w:t xml:space="preserve"> As in the first interim report, the analysis shows that YP who attend more frequently report lower levels of wellbeing, for instance, fewer </w:t>
      </w:r>
      <w:sdt>
        <w:sdtPr>
          <w:tag w:val="goog_rdk_21"/>
          <w:id w:val="-856533306"/>
        </w:sdtPr>
        <w:sdtEndPr/>
        <w:sdtContent/>
      </w:sdt>
      <w:r>
        <w:rPr>
          <w:sz w:val="22"/>
          <w:szCs w:val="22"/>
        </w:rPr>
        <w:t xml:space="preserve">positive feelings about their school, home, or work, and higher involvement in some ASB (e.g., swearing at strangers, dropping litter). This does not imply that the MHF is ineffective. Assessing this would require a comparison with peers that have not attended MHF activities </w:t>
      </w:r>
      <w:proofErr w:type="gramStart"/>
      <w:r>
        <w:rPr>
          <w:sz w:val="22"/>
          <w:szCs w:val="22"/>
        </w:rPr>
        <w:t>and also</w:t>
      </w:r>
      <w:proofErr w:type="gramEnd"/>
      <w:r>
        <w:rPr>
          <w:sz w:val="22"/>
          <w:szCs w:val="22"/>
        </w:rPr>
        <w:t xml:space="preserve"> live in ASB hotspots. Such a comparison was not feasible for this evaluation. However, the evaluation now better understands the background to these findings. For instance, in interviews YP said that they found staff at youth organisations to be more approachable than teachers or parents, which </w:t>
      </w:r>
      <w:r>
        <w:rPr>
          <w:sz w:val="22"/>
          <w:szCs w:val="22"/>
          <w:u w:val="single"/>
        </w:rPr>
        <w:t>may</w:t>
      </w:r>
      <w:r>
        <w:rPr>
          <w:sz w:val="22"/>
          <w:szCs w:val="22"/>
        </w:rPr>
        <w:t xml:space="preserve"> be why YP who attend more frequently reported fewer positive feelings about school or their family. In addition, the </w:t>
      </w:r>
      <w:r w:rsidRPr="00E82636">
        <w:rPr>
          <w:sz w:val="22"/>
        </w:rPr>
        <w:t xml:space="preserve">MHF grantholders </w:t>
      </w:r>
      <w:r>
        <w:rPr>
          <w:sz w:val="22"/>
        </w:rPr>
        <w:t xml:space="preserve">deliver </w:t>
      </w:r>
      <w:r w:rsidRPr="00E82636">
        <w:rPr>
          <w:sz w:val="22"/>
        </w:rPr>
        <w:t>their activities in areas where ASB</w:t>
      </w:r>
      <w:r>
        <w:rPr>
          <w:sz w:val="22"/>
        </w:rPr>
        <w:t xml:space="preserve">, </w:t>
      </w:r>
      <w:r w:rsidRPr="00E82636">
        <w:rPr>
          <w:sz w:val="22"/>
        </w:rPr>
        <w:t xml:space="preserve">including among </w:t>
      </w:r>
      <w:r>
        <w:rPr>
          <w:sz w:val="22"/>
        </w:rPr>
        <w:t xml:space="preserve">YP, </w:t>
      </w:r>
      <w:r w:rsidRPr="00E82636">
        <w:rPr>
          <w:sz w:val="22"/>
        </w:rPr>
        <w:t xml:space="preserve">is more prevalent. This may help explain why </w:t>
      </w:r>
      <w:r>
        <w:rPr>
          <w:sz w:val="22"/>
        </w:rPr>
        <w:t>YP</w:t>
      </w:r>
      <w:r w:rsidRPr="00E82636">
        <w:rPr>
          <w:sz w:val="22"/>
        </w:rPr>
        <w:t xml:space="preserve"> who attend more frequently report higher levels of involvement in ASB.</w:t>
      </w:r>
      <w:r>
        <w:rPr>
          <w:sz w:val="22"/>
        </w:rPr>
        <w:t xml:space="preserve"> </w:t>
      </w:r>
    </w:p>
    <w:p w14:paraId="495DAFB6" w14:textId="77777777" w:rsidR="00892B5A" w:rsidRDefault="00892B5A" w:rsidP="00293FB1">
      <w:pPr>
        <w:numPr>
          <w:ilvl w:val="0"/>
          <w:numId w:val="10"/>
        </w:numPr>
        <w:pBdr>
          <w:top w:val="nil"/>
          <w:left w:val="nil"/>
          <w:bottom w:val="nil"/>
          <w:right w:val="nil"/>
          <w:between w:val="nil"/>
        </w:pBdr>
        <w:spacing w:before="120" w:after="120"/>
      </w:pPr>
      <w:r>
        <w:rPr>
          <w:b/>
          <w:bCs/>
          <w:sz w:val="22"/>
          <w:szCs w:val="22"/>
        </w:rPr>
        <w:t>Trends on trust in staff:</w:t>
      </w:r>
      <w:r>
        <w:rPr>
          <w:sz w:val="22"/>
          <w:szCs w:val="22"/>
        </w:rPr>
        <w:t xml:space="preserve"> A key finding from the first interim report was a negative correlation between attendance in the MHF activities and trust in staff. In contrast, this year's analysis found emerging evidence of a positive relationship between more frequent attendance and feeling listened to by staff. A potential explanation of this finding is that longer engagement in the MHF activities may be resulting in more trust being built by YP in staff. This reinforces the </w:t>
      </w:r>
      <w:sdt>
        <w:sdtPr>
          <w:tag w:val="goog_rdk_23"/>
          <w:id w:val="872992166"/>
        </w:sdtPr>
        <w:sdtEndPr/>
        <w:sdtContent/>
      </w:sdt>
      <w:r>
        <w:rPr>
          <w:sz w:val="22"/>
          <w:szCs w:val="22"/>
        </w:rPr>
        <w:t xml:space="preserve">finding that positive, trusted relationships with youth workers are a driver of positive change </w:t>
      </w:r>
      <w:r w:rsidRPr="0049137E">
        <w:rPr>
          <w:sz w:val="22"/>
          <w:szCs w:val="22"/>
        </w:rPr>
        <w:t xml:space="preserve">and illustrates how </w:t>
      </w:r>
      <w:proofErr w:type="gramStart"/>
      <w:r w:rsidRPr="0049137E">
        <w:rPr>
          <w:sz w:val="22"/>
          <w:szCs w:val="22"/>
        </w:rPr>
        <w:t>longer term</w:t>
      </w:r>
      <w:proofErr w:type="gramEnd"/>
      <w:r w:rsidRPr="0049137E">
        <w:rPr>
          <w:sz w:val="22"/>
          <w:szCs w:val="22"/>
        </w:rPr>
        <w:t xml:space="preserve"> funding is required to see the impacts of building relationships</w:t>
      </w:r>
      <w:r>
        <w:rPr>
          <w:sz w:val="22"/>
          <w:szCs w:val="22"/>
        </w:rPr>
        <w:t>. Another potential explanation could be that YP who do not trust staff did not complete this year’s survey.</w:t>
      </w:r>
    </w:p>
    <w:p w14:paraId="2A2AC670" w14:textId="77777777" w:rsidR="00892B5A" w:rsidRDefault="00892B5A" w:rsidP="00293FB1">
      <w:pPr>
        <w:numPr>
          <w:ilvl w:val="0"/>
          <w:numId w:val="10"/>
        </w:numPr>
        <w:pBdr>
          <w:top w:val="nil"/>
          <w:left w:val="nil"/>
          <w:bottom w:val="nil"/>
          <w:right w:val="nil"/>
          <w:between w:val="nil"/>
        </w:pBdr>
        <w:spacing w:before="120" w:after="120"/>
      </w:pPr>
      <w:r>
        <w:rPr>
          <w:b/>
          <w:bCs/>
          <w:sz w:val="22"/>
          <w:szCs w:val="22"/>
        </w:rPr>
        <w:lastRenderedPageBreak/>
        <w:t>Youth centres as a 'safe space':</w:t>
      </w:r>
      <w:r>
        <w:rPr>
          <w:sz w:val="22"/>
          <w:szCs w:val="22"/>
        </w:rPr>
        <w:t xml:space="preserve"> The first interim </w:t>
      </w:r>
      <w:r w:rsidRPr="00B303D1">
        <w:rPr>
          <w:sz w:val="22"/>
          <w:szCs w:val="22"/>
        </w:rPr>
        <w:t xml:space="preserve">report </w:t>
      </w:r>
      <w:sdt>
        <w:sdtPr>
          <w:rPr>
            <w:sz w:val="22"/>
            <w:szCs w:val="22"/>
          </w:rPr>
          <w:tag w:val="goog_rdk_24"/>
          <w:id w:val="-1785051447"/>
        </w:sdtPr>
        <w:sdtEndPr/>
        <w:sdtContent>
          <w:r w:rsidRPr="00AB3EB4">
            <w:rPr>
              <w:sz w:val="22"/>
              <w:szCs w:val="22"/>
            </w:rPr>
            <w:t xml:space="preserve">found that around one in ten </w:t>
          </w:r>
          <w:r>
            <w:rPr>
              <w:sz w:val="22"/>
              <w:szCs w:val="22"/>
            </w:rPr>
            <w:t>YP</w:t>
          </w:r>
          <w:r w:rsidRPr="00AB3EB4">
            <w:rPr>
              <w:sz w:val="22"/>
              <w:szCs w:val="22"/>
            </w:rPr>
            <w:t xml:space="preserve"> responding to the </w:t>
          </w:r>
          <w:r>
            <w:rPr>
              <w:sz w:val="22"/>
              <w:szCs w:val="22"/>
            </w:rPr>
            <w:t>YP</w:t>
          </w:r>
          <w:r w:rsidRPr="00AB3EB4">
            <w:rPr>
              <w:sz w:val="22"/>
              <w:szCs w:val="22"/>
            </w:rPr>
            <w:t xml:space="preserve"> survey felt unsafe at the funded activities</w:t>
          </w:r>
        </w:sdtContent>
      </w:sdt>
      <w:r w:rsidRPr="00B303D1">
        <w:rPr>
          <w:sz w:val="22"/>
          <w:szCs w:val="22"/>
        </w:rPr>
        <w:t>. This</w:t>
      </w:r>
      <w:r>
        <w:rPr>
          <w:sz w:val="22"/>
          <w:szCs w:val="22"/>
        </w:rPr>
        <w:t xml:space="preserve"> year's data sheds further light on the context for this finding. While 90% of YP feel 'safe' or 'very safe' at the MHF activities, those who attend more frequently, </w:t>
      </w:r>
      <w:r w:rsidRPr="000E1BCE">
        <w:rPr>
          <w:sz w:val="22"/>
          <w:szCs w:val="22"/>
        </w:rPr>
        <w:t>and felt unsafe at the MHF activities</w:t>
      </w:r>
      <w:r>
        <w:rPr>
          <w:sz w:val="22"/>
          <w:szCs w:val="22"/>
        </w:rPr>
        <w:t>,</w:t>
      </w:r>
      <w:r w:rsidRPr="000E1BCE">
        <w:rPr>
          <w:sz w:val="22"/>
          <w:szCs w:val="22"/>
        </w:rPr>
        <w:t xml:space="preserve"> </w:t>
      </w:r>
      <w:r>
        <w:rPr>
          <w:sz w:val="22"/>
          <w:szCs w:val="22"/>
        </w:rPr>
        <w:t>are also more likely to report feeling unsafe at home. This may indicate that generally lower feelings of safety are the reason why these YP do not feel safe during MHF activities either. In interviews with YP, it was also discussed that those who feel unsafe elsewhere do feel that MHF activities are a safe place for them to go and this is supported by the YP survey. This reframes the understanding of the MHF's role, highlighting its importance as a secure environment for YP who may feel that they lack that safety elsewhere.</w:t>
      </w:r>
    </w:p>
    <w:p w14:paraId="460B910D" w14:textId="77777777" w:rsidR="00892B5A" w:rsidRPr="00A91FCB" w:rsidRDefault="00892B5A" w:rsidP="00A91FCB">
      <w:pPr>
        <w:pStyle w:val="Heading4"/>
        <w:numPr>
          <w:ilvl w:val="0"/>
          <w:numId w:val="0"/>
        </w:numPr>
        <w:rPr>
          <w:szCs w:val="22"/>
        </w:rPr>
      </w:pPr>
      <w:r w:rsidRPr="00A91FCB">
        <w:rPr>
          <w:szCs w:val="22"/>
        </w:rPr>
        <w:t>Further insights from the dose-response analysis</w:t>
      </w:r>
    </w:p>
    <w:p w14:paraId="44C87BCF" w14:textId="77777777" w:rsidR="00892B5A" w:rsidRDefault="00892B5A" w:rsidP="00892B5A">
      <w:pPr>
        <w:pBdr>
          <w:top w:val="nil"/>
          <w:left w:val="nil"/>
          <w:bottom w:val="nil"/>
          <w:right w:val="nil"/>
          <w:between w:val="nil"/>
        </w:pBdr>
        <w:spacing w:before="120" w:after="120"/>
        <w:rPr>
          <w:sz w:val="22"/>
          <w:szCs w:val="22"/>
        </w:rPr>
      </w:pPr>
      <w:r>
        <w:rPr>
          <w:sz w:val="22"/>
          <w:szCs w:val="22"/>
        </w:rPr>
        <w:t>Beyond the headline findings above, the analysis revealed several important relationships between MHF engagement and outcomes for YP:</w:t>
      </w:r>
    </w:p>
    <w:p w14:paraId="5A42971A" w14:textId="77777777" w:rsidR="00892B5A" w:rsidRDefault="00F81BA3" w:rsidP="00293FB1">
      <w:pPr>
        <w:numPr>
          <w:ilvl w:val="0"/>
          <w:numId w:val="11"/>
        </w:numPr>
        <w:pBdr>
          <w:top w:val="nil"/>
          <w:left w:val="nil"/>
          <w:bottom w:val="nil"/>
          <w:right w:val="nil"/>
          <w:between w:val="nil"/>
        </w:pBdr>
        <w:spacing w:before="120" w:after="120"/>
        <w:rPr>
          <w:b/>
          <w:bCs/>
          <w:sz w:val="22"/>
          <w:szCs w:val="22"/>
        </w:rPr>
      </w:pPr>
      <w:sdt>
        <w:sdtPr>
          <w:tag w:val="goog_rdk_25"/>
          <w:id w:val="1553937495"/>
        </w:sdtPr>
        <w:sdtEndPr/>
        <w:sdtContent/>
      </w:sdt>
      <w:r w:rsidR="00892B5A">
        <w:rPr>
          <w:b/>
          <w:bCs/>
          <w:sz w:val="22"/>
          <w:szCs w:val="22"/>
        </w:rPr>
        <w:t>The impact of engaging in the MHF activities evolves over time:</w:t>
      </w:r>
    </w:p>
    <w:p w14:paraId="47ABB7A8" w14:textId="77777777" w:rsidR="00892B5A" w:rsidRDefault="00892B5A" w:rsidP="00293FB1">
      <w:pPr>
        <w:numPr>
          <w:ilvl w:val="1"/>
          <w:numId w:val="11"/>
        </w:numPr>
        <w:pBdr>
          <w:top w:val="nil"/>
          <w:left w:val="nil"/>
          <w:bottom w:val="nil"/>
          <w:right w:val="nil"/>
          <w:between w:val="nil"/>
        </w:pBdr>
        <w:spacing w:before="120" w:after="120"/>
        <w:ind w:left="1077" w:hanging="357"/>
      </w:pPr>
      <w:r>
        <w:rPr>
          <w:sz w:val="22"/>
          <w:szCs w:val="22"/>
        </w:rPr>
        <w:t>Wellbeing and confidence are highest in the first three months of attendance, dip between months 4-9, and then improve again from month 10 onwards. This data suggests an initial positive impact of attendance followed by a phase of deeper challenge and then long-term growth.</w:t>
      </w:r>
    </w:p>
    <w:p w14:paraId="21B1817F" w14:textId="77777777" w:rsidR="00892B5A" w:rsidRDefault="00892B5A" w:rsidP="00293FB1">
      <w:pPr>
        <w:numPr>
          <w:ilvl w:val="1"/>
          <w:numId w:val="11"/>
        </w:numPr>
        <w:pBdr>
          <w:top w:val="nil"/>
          <w:left w:val="nil"/>
          <w:bottom w:val="nil"/>
          <w:right w:val="nil"/>
          <w:between w:val="nil"/>
        </w:pBdr>
        <w:spacing w:before="120" w:after="120"/>
        <w:ind w:left="1077" w:hanging="357"/>
      </w:pPr>
      <w:r>
        <w:rPr>
          <w:sz w:val="22"/>
          <w:szCs w:val="22"/>
        </w:rPr>
        <w:t>Similarly, involvement in more serious ASB (fighting and drug use), while generally low, was found to increase up to the 9-month mark before falling from 10 months onwards. This may indicate that it takes a substantial period of sustained engagement to achieve a positive impact on these behaviours, reinforcing the need for longer term funding.</w:t>
      </w:r>
    </w:p>
    <w:p w14:paraId="31C1BA55" w14:textId="77777777" w:rsidR="00892B5A" w:rsidRDefault="00892B5A" w:rsidP="00293FB1">
      <w:pPr>
        <w:numPr>
          <w:ilvl w:val="0"/>
          <w:numId w:val="11"/>
        </w:numPr>
        <w:pBdr>
          <w:top w:val="nil"/>
          <w:left w:val="nil"/>
          <w:bottom w:val="nil"/>
          <w:right w:val="nil"/>
          <w:between w:val="nil"/>
        </w:pBdr>
        <w:spacing w:before="120" w:after="120"/>
      </w:pPr>
      <w:r>
        <w:rPr>
          <w:b/>
          <w:bCs/>
          <w:sz w:val="22"/>
          <w:szCs w:val="22"/>
        </w:rPr>
        <w:t>The type of activity matters:</w:t>
      </w:r>
    </w:p>
    <w:p w14:paraId="70161682" w14:textId="77777777" w:rsidR="00892B5A" w:rsidRPr="00207018" w:rsidRDefault="00892B5A" w:rsidP="00293FB1">
      <w:pPr>
        <w:numPr>
          <w:ilvl w:val="1"/>
          <w:numId w:val="11"/>
        </w:numPr>
        <w:pBdr>
          <w:top w:val="nil"/>
          <w:left w:val="nil"/>
          <w:bottom w:val="nil"/>
          <w:right w:val="nil"/>
          <w:between w:val="nil"/>
        </w:pBdr>
        <w:spacing w:before="120" w:after="120"/>
        <w:contextualSpacing/>
        <w:rPr>
          <w:sz w:val="22"/>
          <w:szCs w:val="22"/>
        </w:rPr>
      </w:pPr>
      <w:r>
        <w:rPr>
          <w:sz w:val="22"/>
          <w:szCs w:val="22"/>
        </w:rPr>
        <w:t>Engaging in mentoring and volunteering is associated with developing a trusted relationship with staff.</w:t>
      </w:r>
    </w:p>
    <w:p w14:paraId="1A6A6BF2" w14:textId="77777777" w:rsidR="00892B5A" w:rsidRPr="00207018" w:rsidRDefault="00892B5A" w:rsidP="00293FB1">
      <w:pPr>
        <w:numPr>
          <w:ilvl w:val="1"/>
          <w:numId w:val="11"/>
        </w:numPr>
        <w:pBdr>
          <w:top w:val="nil"/>
          <w:left w:val="nil"/>
          <w:bottom w:val="nil"/>
          <w:right w:val="nil"/>
          <w:between w:val="nil"/>
        </w:pBdr>
        <w:spacing w:before="120" w:after="120"/>
        <w:contextualSpacing/>
        <w:rPr>
          <w:sz w:val="22"/>
          <w:szCs w:val="22"/>
        </w:rPr>
      </w:pPr>
      <w:r>
        <w:rPr>
          <w:sz w:val="22"/>
          <w:szCs w:val="22"/>
        </w:rPr>
        <w:t>Participation in sports and physical activities is positively linked to better feelings about personal appearance.</w:t>
      </w:r>
    </w:p>
    <w:p w14:paraId="7FBBD9FC" w14:textId="77777777" w:rsidR="00892B5A" w:rsidRPr="00207018" w:rsidRDefault="00892B5A" w:rsidP="00293FB1">
      <w:pPr>
        <w:numPr>
          <w:ilvl w:val="1"/>
          <w:numId w:val="11"/>
        </w:numPr>
        <w:pBdr>
          <w:top w:val="nil"/>
          <w:left w:val="nil"/>
          <w:bottom w:val="nil"/>
          <w:right w:val="nil"/>
          <w:between w:val="nil"/>
        </w:pBdr>
        <w:spacing w:before="120" w:after="120"/>
        <w:contextualSpacing/>
        <w:rPr>
          <w:sz w:val="22"/>
          <w:szCs w:val="22"/>
        </w:rPr>
      </w:pPr>
      <w:r>
        <w:rPr>
          <w:sz w:val="22"/>
          <w:szCs w:val="22"/>
        </w:rPr>
        <w:t xml:space="preserve">Engaging in unstructured "hanging out" activities where YP spend time with other YP is associated with </w:t>
      </w:r>
      <w:sdt>
        <w:sdtPr>
          <w:rPr>
            <w:sz w:val="22"/>
            <w:szCs w:val="22"/>
          </w:rPr>
          <w:tag w:val="goog_rdk_26"/>
          <w:id w:val="1004021333"/>
        </w:sdtPr>
        <w:sdtEndPr/>
        <w:sdtContent/>
      </w:sdt>
      <w:r w:rsidRPr="00207018">
        <w:rPr>
          <w:sz w:val="22"/>
          <w:szCs w:val="22"/>
        </w:rPr>
        <w:t>lower life skills, lower wellbeing regarding school, and higher instances of minor ASB.</w:t>
      </w:r>
    </w:p>
    <w:p w14:paraId="7683E37B" w14:textId="77777777" w:rsidR="00FA6602" w:rsidRPr="00FA6602" w:rsidRDefault="00892B5A" w:rsidP="00293FB1">
      <w:pPr>
        <w:numPr>
          <w:ilvl w:val="0"/>
          <w:numId w:val="11"/>
        </w:numPr>
        <w:pBdr>
          <w:top w:val="nil"/>
          <w:left w:val="nil"/>
          <w:bottom w:val="nil"/>
          <w:right w:val="nil"/>
          <w:between w:val="nil"/>
        </w:pBdr>
        <w:spacing w:before="120" w:after="120"/>
        <w:ind w:left="357" w:hanging="357"/>
      </w:pPr>
      <w:r>
        <w:rPr>
          <w:b/>
          <w:bCs/>
          <w:sz w:val="22"/>
          <w:szCs w:val="22"/>
        </w:rPr>
        <w:t xml:space="preserve">The mechanism of change: </w:t>
      </w:r>
    </w:p>
    <w:p w14:paraId="64A685CA" w14:textId="77B504BE" w:rsidR="00892B5A" w:rsidRDefault="00892B5A" w:rsidP="00FA6602">
      <w:pPr>
        <w:numPr>
          <w:ilvl w:val="1"/>
          <w:numId w:val="11"/>
        </w:numPr>
        <w:pBdr>
          <w:top w:val="nil"/>
          <w:left w:val="nil"/>
          <w:bottom w:val="nil"/>
          <w:right w:val="nil"/>
          <w:between w:val="nil"/>
        </w:pBdr>
        <w:spacing w:before="120" w:after="120"/>
      </w:pPr>
      <w:r>
        <w:rPr>
          <w:sz w:val="22"/>
          <w:szCs w:val="22"/>
        </w:rPr>
        <w:t xml:space="preserve">The analysis suggests that building a trusted relationship with staff is the central mechanism for achieving </w:t>
      </w:r>
      <w:sdt>
        <w:sdtPr>
          <w:tag w:val="goog_rdk_27"/>
          <w:id w:val="927260754"/>
        </w:sdtPr>
        <w:sdtEndPr/>
        <w:sdtContent/>
      </w:sdt>
      <w:r>
        <w:rPr>
          <w:sz w:val="22"/>
          <w:szCs w:val="22"/>
        </w:rPr>
        <w:t>positive outcomes.</w:t>
      </w:r>
    </w:p>
    <w:p w14:paraId="6367904A" w14:textId="77777777" w:rsidR="00892B5A" w:rsidRDefault="00892B5A" w:rsidP="00293FB1">
      <w:pPr>
        <w:numPr>
          <w:ilvl w:val="1"/>
          <w:numId w:val="11"/>
        </w:numPr>
        <w:pBdr>
          <w:top w:val="nil"/>
          <w:left w:val="nil"/>
          <w:bottom w:val="nil"/>
          <w:right w:val="nil"/>
          <w:between w:val="nil"/>
        </w:pBdr>
        <w:spacing w:before="120" w:after="120"/>
        <w:ind w:left="1077" w:hanging="357"/>
      </w:pPr>
      <w:r>
        <w:rPr>
          <w:sz w:val="22"/>
          <w:szCs w:val="22"/>
        </w:rPr>
        <w:t>YP who trust staff are less likely to get into fights, receive noise complaints from neighbours, deliberately damage public property, spray graffiti, or use drugs.</w:t>
      </w:r>
    </w:p>
    <w:p w14:paraId="17175508" w14:textId="77777777" w:rsidR="00892B5A" w:rsidRPr="00AB3EB4" w:rsidRDefault="00892B5A" w:rsidP="00293FB1">
      <w:pPr>
        <w:numPr>
          <w:ilvl w:val="1"/>
          <w:numId w:val="11"/>
        </w:numPr>
        <w:pBdr>
          <w:top w:val="nil"/>
          <w:left w:val="nil"/>
          <w:bottom w:val="nil"/>
          <w:right w:val="nil"/>
          <w:between w:val="nil"/>
        </w:pBdr>
        <w:spacing w:before="120" w:after="120"/>
        <w:ind w:left="1077" w:hanging="357"/>
      </w:pPr>
      <w:r>
        <w:rPr>
          <w:sz w:val="22"/>
          <w:szCs w:val="22"/>
        </w:rPr>
        <w:t>Higher trust in staff is also directly linked to better life skills, such as being more likely to feel empathy for others and having better self-control.</w:t>
      </w:r>
    </w:p>
    <w:p w14:paraId="7525C7D4" w14:textId="77777777" w:rsidR="00892B5A" w:rsidRPr="00AB3EB4" w:rsidRDefault="00892B5A" w:rsidP="00293FB1">
      <w:pPr>
        <w:pStyle w:val="ListParagraph"/>
        <w:numPr>
          <w:ilvl w:val="1"/>
          <w:numId w:val="11"/>
        </w:numPr>
        <w:spacing w:before="120" w:after="120"/>
        <w:rPr>
          <w:sz w:val="22"/>
          <w:szCs w:val="22"/>
        </w:rPr>
      </w:pPr>
      <w:r w:rsidRPr="00AB3EB4">
        <w:rPr>
          <w:sz w:val="22"/>
          <w:szCs w:val="22"/>
        </w:rPr>
        <w:t xml:space="preserve">The </w:t>
      </w:r>
      <w:r>
        <w:rPr>
          <w:sz w:val="22"/>
          <w:szCs w:val="22"/>
        </w:rPr>
        <w:t xml:space="preserve">full </w:t>
      </w:r>
      <w:r w:rsidRPr="00AB3EB4">
        <w:rPr>
          <w:sz w:val="22"/>
          <w:szCs w:val="22"/>
        </w:rPr>
        <w:t xml:space="preserve">report also found that guidance, support, and informal mentoring by older peers contributes to </w:t>
      </w:r>
      <w:r>
        <w:rPr>
          <w:sz w:val="22"/>
          <w:szCs w:val="22"/>
        </w:rPr>
        <w:t>YP</w:t>
      </w:r>
      <w:r w:rsidRPr="00AB3EB4">
        <w:rPr>
          <w:sz w:val="22"/>
          <w:szCs w:val="22"/>
        </w:rPr>
        <w:t xml:space="preserve"> building positive relationships with the</w:t>
      </w:r>
      <w:r>
        <w:rPr>
          <w:sz w:val="22"/>
          <w:szCs w:val="22"/>
        </w:rPr>
        <w:t>ir older peers</w:t>
      </w:r>
      <w:r w:rsidRPr="00AB3EB4">
        <w:rPr>
          <w:sz w:val="22"/>
          <w:szCs w:val="22"/>
        </w:rPr>
        <w:t>. Such relationships appear to be an important, if unanticipated, outcome of attending the MHF activities.</w:t>
      </w:r>
    </w:p>
    <w:p w14:paraId="45700B7F" w14:textId="77777777" w:rsidR="00892B5A" w:rsidRPr="00A91FCB" w:rsidRDefault="00892B5A" w:rsidP="00A91FCB">
      <w:pPr>
        <w:pStyle w:val="Heading4"/>
        <w:numPr>
          <w:ilvl w:val="0"/>
          <w:numId w:val="0"/>
        </w:numPr>
        <w:rPr>
          <w:szCs w:val="22"/>
        </w:rPr>
      </w:pPr>
      <w:r w:rsidRPr="00A91FCB">
        <w:rPr>
          <w:szCs w:val="22"/>
        </w:rPr>
        <w:t>Outcomes for YP, staff, and communities</w:t>
      </w:r>
    </w:p>
    <w:p w14:paraId="7675EE29" w14:textId="77777777" w:rsidR="00892B5A" w:rsidRDefault="00892B5A" w:rsidP="00293FB1">
      <w:pPr>
        <w:numPr>
          <w:ilvl w:val="0"/>
          <w:numId w:val="12"/>
        </w:numPr>
        <w:pBdr>
          <w:top w:val="nil"/>
          <w:left w:val="nil"/>
          <w:bottom w:val="nil"/>
          <w:right w:val="nil"/>
          <w:between w:val="nil"/>
        </w:pBdr>
        <w:spacing w:before="120" w:after="120"/>
      </w:pPr>
      <w:r>
        <w:rPr>
          <w:b/>
          <w:bCs/>
          <w:sz w:val="22"/>
          <w:szCs w:val="22"/>
        </w:rPr>
        <w:t>Outcomes for YP:</w:t>
      </w:r>
      <w:r>
        <w:rPr>
          <w:sz w:val="22"/>
          <w:szCs w:val="22"/>
        </w:rPr>
        <w:t xml:space="preserve"> The quality of relationships is paramount. As many as 93% of YP reported having a 'good' or 'very good' relationship with staff. This trust is foundational to feeling safe and building confidence, with 85% of YP reporting their confidence being </w:t>
      </w:r>
      <w:r>
        <w:rPr>
          <w:sz w:val="22"/>
          <w:szCs w:val="22"/>
        </w:rPr>
        <w:lastRenderedPageBreak/>
        <w:t xml:space="preserve">high to very high since participating. As one young person noted, </w:t>
      </w:r>
      <w:r>
        <w:rPr>
          <w:i/>
          <w:iCs/>
          <w:sz w:val="22"/>
          <w:szCs w:val="22"/>
        </w:rPr>
        <w:t xml:space="preserve">"The staff make it a safe space... You’re not going to be judged." </w:t>
      </w:r>
      <w:r>
        <w:rPr>
          <w:sz w:val="22"/>
          <w:szCs w:val="22"/>
        </w:rPr>
        <w:t>Some YP attending the MHF activities move on to volunteering or to paid work with the youth organisation after taking part in its activities.</w:t>
      </w:r>
    </w:p>
    <w:p w14:paraId="253E91BC" w14:textId="77777777" w:rsidR="00892B5A" w:rsidRDefault="00892B5A" w:rsidP="00293FB1">
      <w:pPr>
        <w:numPr>
          <w:ilvl w:val="0"/>
          <w:numId w:val="12"/>
        </w:numPr>
        <w:pBdr>
          <w:top w:val="nil"/>
          <w:left w:val="nil"/>
          <w:bottom w:val="nil"/>
          <w:right w:val="nil"/>
          <w:between w:val="nil"/>
        </w:pBdr>
        <w:spacing w:before="120" w:after="120"/>
      </w:pPr>
      <w:r>
        <w:rPr>
          <w:b/>
          <w:bCs/>
          <w:sz w:val="22"/>
          <w:szCs w:val="22"/>
        </w:rPr>
        <w:t>Outcomes for grantholder staff:</w:t>
      </w:r>
      <w:r>
        <w:rPr>
          <w:sz w:val="22"/>
          <w:szCs w:val="22"/>
        </w:rPr>
        <w:t xml:space="preserve"> The MHF contributed directly to professional development. The vast majority of grantholders (88%) reported their staff had increased their skills and knowledge </w:t>
      </w:r>
      <w:proofErr w:type="gramStart"/>
      <w:r>
        <w:rPr>
          <w:sz w:val="22"/>
          <w:szCs w:val="22"/>
        </w:rPr>
        <w:t>as a result of</w:t>
      </w:r>
      <w:proofErr w:type="gramEnd"/>
      <w:r>
        <w:rPr>
          <w:sz w:val="22"/>
          <w:szCs w:val="22"/>
        </w:rPr>
        <w:t xml:space="preserve"> the grant, with 70% reporting the same for volunteers. Investment was made in crucial training areas including Designated Safeguarding Lead training, first aid, trauma-informed practice, and de-escalation techniques.</w:t>
      </w:r>
      <w:r w:rsidRPr="00D550B3">
        <w:t xml:space="preserve"> </w:t>
      </w:r>
      <w:r w:rsidRPr="00D550B3">
        <w:rPr>
          <w:sz w:val="22"/>
          <w:szCs w:val="22"/>
        </w:rPr>
        <w:t xml:space="preserve">Qualitative feedback indicates that the MHF helped meet a previously unmet demand for training, enabling staff and volunteers to access </w:t>
      </w:r>
      <w:r>
        <w:rPr>
          <w:sz w:val="22"/>
          <w:szCs w:val="22"/>
        </w:rPr>
        <w:t>continuous professional development,</w:t>
      </w:r>
      <w:r w:rsidRPr="00D550B3">
        <w:rPr>
          <w:sz w:val="22"/>
          <w:szCs w:val="22"/>
        </w:rPr>
        <w:t xml:space="preserve"> safeguarding, and specialist courses</w:t>
      </w:r>
      <w:r>
        <w:rPr>
          <w:sz w:val="22"/>
          <w:szCs w:val="22"/>
        </w:rPr>
        <w:t>.</w:t>
      </w:r>
    </w:p>
    <w:p w14:paraId="6C699011" w14:textId="77777777" w:rsidR="00892B5A" w:rsidRDefault="00892B5A" w:rsidP="00293FB1">
      <w:pPr>
        <w:numPr>
          <w:ilvl w:val="0"/>
          <w:numId w:val="12"/>
        </w:numPr>
        <w:pBdr>
          <w:top w:val="nil"/>
          <w:left w:val="nil"/>
          <w:bottom w:val="nil"/>
          <w:right w:val="nil"/>
          <w:between w:val="nil"/>
        </w:pBdr>
        <w:spacing w:before="120" w:after="120"/>
      </w:pPr>
      <w:r>
        <w:rPr>
          <w:b/>
          <w:bCs/>
          <w:sz w:val="22"/>
          <w:szCs w:val="22"/>
        </w:rPr>
        <w:t>Outcomes for communities:</w:t>
      </w:r>
      <w:r>
        <w:rPr>
          <w:sz w:val="22"/>
          <w:szCs w:val="22"/>
        </w:rPr>
        <w:t xml:space="preserve"> Data from grantholders about community outcomes is positive. The vast majority of grantholders (88%) agreed their project is contributing to improved community integration. Stakeholders reported that visible, positive activities helped to change negative perceptions of YP, with one council representative noting it makes YP feel </w:t>
      </w:r>
      <w:r>
        <w:rPr>
          <w:i/>
          <w:iCs/>
          <w:sz w:val="22"/>
          <w:szCs w:val="22"/>
        </w:rPr>
        <w:t>"part of that city centre rather than just part of a problem"</w:t>
      </w:r>
      <w:r>
        <w:rPr>
          <w:sz w:val="22"/>
          <w:szCs w:val="22"/>
        </w:rPr>
        <w:t>. Furthermore, 72% of grantholders believe their project is contributing to a reduction in recorded ASB, a view supported by stakeholder accounts of localised drops in ASB incidents. However, there is no reliable data on recorded ASB committed by YP and the evaluation has not been able to collect evidence on outcomes for local communities from members of the communities directly, which means these findings are anecdotal.</w:t>
      </w:r>
    </w:p>
    <w:p w14:paraId="05CFBE43" w14:textId="77777777" w:rsidR="00D04DD7" w:rsidRPr="00D04DD7" w:rsidRDefault="00D04DD7" w:rsidP="00A91FCB">
      <w:pPr>
        <w:pStyle w:val="Heading3"/>
        <w:numPr>
          <w:ilvl w:val="0"/>
          <w:numId w:val="0"/>
        </w:numPr>
        <w:rPr>
          <w:rFonts w:eastAsia="Arial"/>
        </w:rPr>
      </w:pPr>
      <w:r w:rsidRPr="00D04DD7">
        <w:rPr>
          <w:rFonts w:eastAsia="Arial"/>
        </w:rPr>
        <w:t>Recommendations and next steps</w:t>
      </w:r>
    </w:p>
    <w:p w14:paraId="0DC2BD86" w14:textId="77777777" w:rsidR="00D04DD7" w:rsidRPr="002845C6" w:rsidRDefault="00D04DD7" w:rsidP="00D04DD7">
      <w:pPr>
        <w:pBdr>
          <w:top w:val="nil"/>
          <w:left w:val="nil"/>
          <w:bottom w:val="nil"/>
          <w:right w:val="nil"/>
          <w:between w:val="nil"/>
        </w:pBdr>
        <w:spacing w:before="120" w:after="120"/>
        <w:rPr>
          <w:sz w:val="22"/>
          <w:szCs w:val="22"/>
        </w:rPr>
      </w:pPr>
      <w:r w:rsidRPr="002845C6">
        <w:rPr>
          <w:sz w:val="22"/>
          <w:szCs w:val="22"/>
        </w:rPr>
        <w:t xml:space="preserve">The evidence in the full </w:t>
      </w:r>
      <w:sdt>
        <w:sdtPr>
          <w:rPr>
            <w:sz w:val="22"/>
            <w:szCs w:val="22"/>
          </w:rPr>
          <w:tag w:val="goog_rdk_29"/>
          <w:id w:val="-1534397687"/>
        </w:sdtPr>
        <w:sdtEndPr/>
        <w:sdtContent/>
      </w:sdt>
      <w:r w:rsidRPr="004C3329">
        <w:rPr>
          <w:sz w:val="22"/>
          <w:szCs w:val="22"/>
        </w:rPr>
        <w:t xml:space="preserve">report leads to the </w:t>
      </w:r>
      <w:r w:rsidRPr="002845C6">
        <w:rPr>
          <w:b/>
          <w:bCs/>
          <w:sz w:val="22"/>
          <w:szCs w:val="22"/>
        </w:rPr>
        <w:t>following key recommendations</w:t>
      </w:r>
      <w:r w:rsidRPr="002845C6">
        <w:rPr>
          <w:sz w:val="22"/>
          <w:szCs w:val="22"/>
        </w:rPr>
        <w:t xml:space="preserve"> for DCMS, The National Lottery Community Fund, other funders, and grantholders:</w:t>
      </w:r>
    </w:p>
    <w:p w14:paraId="02ED8577" w14:textId="77777777" w:rsidR="00D04DD7" w:rsidRPr="002845C6" w:rsidRDefault="00D04DD7" w:rsidP="00D04DD7">
      <w:pPr>
        <w:pBdr>
          <w:top w:val="nil"/>
          <w:left w:val="nil"/>
          <w:bottom w:val="nil"/>
          <w:right w:val="nil"/>
          <w:between w:val="nil"/>
        </w:pBdr>
        <w:spacing w:before="120" w:after="120"/>
        <w:rPr>
          <w:b/>
          <w:bCs/>
          <w:sz w:val="22"/>
          <w:szCs w:val="22"/>
        </w:rPr>
      </w:pPr>
      <w:r w:rsidRPr="002845C6">
        <w:rPr>
          <w:b/>
          <w:bCs/>
          <w:sz w:val="22"/>
          <w:szCs w:val="22"/>
        </w:rPr>
        <w:t xml:space="preserve">Recommendation 1: </w:t>
      </w:r>
      <w:r w:rsidRPr="002845C6">
        <w:rPr>
          <w:sz w:val="22"/>
          <w:szCs w:val="22"/>
        </w:rPr>
        <w:t xml:space="preserve">DCMS and The National Lottery Community Fund should strongly consider delivering funds set up in a similar way to and for a similar duration as the MHF in future, as this is the best way to achieve desired outcomes and impacts. </w:t>
      </w:r>
      <w:r w:rsidRPr="002845C6">
        <w:rPr>
          <w:b/>
          <w:bCs/>
          <w:sz w:val="22"/>
          <w:szCs w:val="22"/>
        </w:rPr>
        <w:t>Rationale:</w:t>
      </w:r>
      <w:r w:rsidRPr="002845C6">
        <w:rPr>
          <w:sz w:val="22"/>
          <w:szCs w:val="22"/>
        </w:rPr>
        <w:t xml:space="preserve"> The partnership between these two organisations works well. Multi-year funding is essential to achieving lasting behavioural changes for </w:t>
      </w:r>
      <w:r>
        <w:rPr>
          <w:sz w:val="22"/>
          <w:szCs w:val="22"/>
        </w:rPr>
        <w:t>YP</w:t>
      </w:r>
      <w:r w:rsidRPr="002845C6">
        <w:rPr>
          <w:sz w:val="22"/>
          <w:szCs w:val="22"/>
        </w:rPr>
        <w:t xml:space="preserve">. It is also essential </w:t>
      </w:r>
      <w:r>
        <w:rPr>
          <w:sz w:val="22"/>
          <w:szCs w:val="22"/>
        </w:rPr>
        <w:t>for</w:t>
      </w:r>
      <w:r w:rsidRPr="002845C6">
        <w:rPr>
          <w:sz w:val="22"/>
          <w:szCs w:val="22"/>
        </w:rPr>
        <w:t xml:space="preserve"> allowing grantholders to attract and retain qualified staff and volunteers with whom </w:t>
      </w:r>
      <w:r>
        <w:rPr>
          <w:sz w:val="22"/>
          <w:szCs w:val="22"/>
        </w:rPr>
        <w:t>YP</w:t>
      </w:r>
      <w:r w:rsidRPr="002845C6">
        <w:rPr>
          <w:sz w:val="22"/>
          <w:szCs w:val="22"/>
        </w:rPr>
        <w:t xml:space="preserve"> can build trusted relationships.</w:t>
      </w:r>
    </w:p>
    <w:p w14:paraId="6D25DA27" w14:textId="77777777" w:rsidR="00D04DD7" w:rsidRPr="002845C6" w:rsidRDefault="00D04DD7" w:rsidP="00D04DD7">
      <w:pPr>
        <w:pBdr>
          <w:top w:val="nil"/>
          <w:left w:val="nil"/>
          <w:bottom w:val="nil"/>
          <w:right w:val="nil"/>
          <w:between w:val="nil"/>
        </w:pBdr>
        <w:spacing w:before="120" w:after="120"/>
        <w:rPr>
          <w:sz w:val="22"/>
          <w:szCs w:val="22"/>
        </w:rPr>
      </w:pPr>
      <w:r w:rsidRPr="002845C6">
        <w:rPr>
          <w:b/>
          <w:bCs/>
          <w:sz w:val="22"/>
          <w:szCs w:val="22"/>
        </w:rPr>
        <w:t xml:space="preserve">Recommendation 2: </w:t>
      </w:r>
      <w:r w:rsidRPr="002845C6">
        <w:rPr>
          <w:sz w:val="22"/>
          <w:szCs w:val="22"/>
        </w:rPr>
        <w:t xml:space="preserve">For future funds, DCMS and The National Lottery Community Fund should support grantholders to build and maintain structured referral pathways and partnerships to engage </w:t>
      </w:r>
      <w:r>
        <w:rPr>
          <w:sz w:val="22"/>
          <w:szCs w:val="22"/>
        </w:rPr>
        <w:t>YP</w:t>
      </w:r>
      <w:r w:rsidRPr="002845C6">
        <w:rPr>
          <w:sz w:val="22"/>
          <w:szCs w:val="22"/>
        </w:rPr>
        <w:t xml:space="preserve"> specifically at risk </w:t>
      </w:r>
      <w:proofErr w:type="gramStart"/>
      <w:r w:rsidRPr="002845C6">
        <w:rPr>
          <w:sz w:val="22"/>
          <w:szCs w:val="22"/>
        </w:rPr>
        <w:t>of, or</w:t>
      </w:r>
      <w:proofErr w:type="gramEnd"/>
      <w:r w:rsidRPr="002845C6">
        <w:rPr>
          <w:sz w:val="22"/>
          <w:szCs w:val="22"/>
        </w:rPr>
        <w:t xml:space="preserve"> already involved in ASB. </w:t>
      </w:r>
      <w:r w:rsidRPr="002845C6">
        <w:rPr>
          <w:b/>
          <w:bCs/>
          <w:sz w:val="22"/>
          <w:szCs w:val="22"/>
        </w:rPr>
        <w:t>Rationale:</w:t>
      </w:r>
      <w:r w:rsidRPr="002845C6">
        <w:rPr>
          <w:sz w:val="22"/>
          <w:szCs w:val="22"/>
        </w:rPr>
        <w:t xml:space="preserve"> Such referral pathways are essential and effective. Where local networks between organisations already exist that can facilitate referral pathways, funders should encourage grantholders to build on and strengthen those networks rather than creating completely new ones. Funders should allocate sufficient resources for grantholders’ partnering activities. The most effective partnerships for this are with schools, police (including Police Community Support Officers), Youth Justice Services, and local authority teams.</w:t>
      </w:r>
    </w:p>
    <w:p w14:paraId="602F05A7" w14:textId="77777777" w:rsidR="00D04DD7" w:rsidRPr="002845C6" w:rsidRDefault="00D04DD7" w:rsidP="00D04DD7">
      <w:pPr>
        <w:pBdr>
          <w:top w:val="nil"/>
          <w:left w:val="nil"/>
          <w:bottom w:val="nil"/>
          <w:right w:val="nil"/>
          <w:between w:val="nil"/>
        </w:pBdr>
        <w:spacing w:before="120" w:after="120"/>
        <w:rPr>
          <w:sz w:val="22"/>
          <w:szCs w:val="22"/>
        </w:rPr>
      </w:pPr>
      <w:r w:rsidRPr="002845C6">
        <w:rPr>
          <w:b/>
          <w:bCs/>
          <w:sz w:val="22"/>
          <w:szCs w:val="22"/>
        </w:rPr>
        <w:t>Recommendation 3</w:t>
      </w:r>
      <w:r w:rsidRPr="002845C6">
        <w:rPr>
          <w:sz w:val="22"/>
          <w:szCs w:val="22"/>
        </w:rPr>
        <w:t xml:space="preserve">: Grantholders should deliver activities in locations that are familiar and accessible to </w:t>
      </w:r>
      <w:r>
        <w:rPr>
          <w:sz w:val="22"/>
          <w:szCs w:val="22"/>
        </w:rPr>
        <w:t>YP</w:t>
      </w:r>
      <w:r w:rsidRPr="002845C6">
        <w:rPr>
          <w:sz w:val="22"/>
          <w:szCs w:val="22"/>
        </w:rPr>
        <w:t xml:space="preserve">, such as parks, housing estates or other community spaces they already use, rather than relying solely on unfamiliar venues. </w:t>
      </w:r>
      <w:r w:rsidRPr="002845C6">
        <w:rPr>
          <w:b/>
          <w:bCs/>
          <w:sz w:val="22"/>
          <w:szCs w:val="22"/>
        </w:rPr>
        <w:t>Rationale:</w:t>
      </w:r>
      <w:r w:rsidRPr="002845C6">
        <w:rPr>
          <w:sz w:val="22"/>
          <w:szCs w:val="22"/>
        </w:rPr>
        <w:t xml:space="preserve"> Engagement with </w:t>
      </w:r>
      <w:r>
        <w:rPr>
          <w:sz w:val="22"/>
          <w:szCs w:val="22"/>
        </w:rPr>
        <w:t>YP</w:t>
      </w:r>
      <w:r w:rsidRPr="002845C6">
        <w:rPr>
          <w:sz w:val="22"/>
          <w:szCs w:val="22"/>
        </w:rPr>
        <w:t xml:space="preserve"> was more effective when activities took place in spaces </w:t>
      </w:r>
      <w:r>
        <w:rPr>
          <w:sz w:val="22"/>
          <w:szCs w:val="22"/>
        </w:rPr>
        <w:t>YP</w:t>
      </w:r>
      <w:r w:rsidRPr="002845C6">
        <w:rPr>
          <w:sz w:val="22"/>
          <w:szCs w:val="22"/>
        </w:rPr>
        <w:t xml:space="preserve"> already frequent. This approach was particularly effective for those less likely to seek out formal youth provision, helping to reduce barriers to participation and increase inclusivity. A few grantholders initially trialled delivery in locations unfamiliar </w:t>
      </w:r>
      <w:r>
        <w:rPr>
          <w:sz w:val="22"/>
          <w:szCs w:val="22"/>
        </w:rPr>
        <w:t>to</w:t>
      </w:r>
      <w:r w:rsidRPr="002845C6">
        <w:rPr>
          <w:sz w:val="22"/>
          <w:szCs w:val="22"/>
        </w:rPr>
        <w:t xml:space="preserve"> the </w:t>
      </w:r>
      <w:r>
        <w:rPr>
          <w:sz w:val="22"/>
          <w:szCs w:val="22"/>
        </w:rPr>
        <w:t>YP</w:t>
      </w:r>
      <w:r w:rsidRPr="002845C6">
        <w:rPr>
          <w:sz w:val="22"/>
          <w:szCs w:val="22"/>
        </w:rPr>
        <w:t xml:space="preserve"> and found engagement and retention challenging.</w:t>
      </w:r>
    </w:p>
    <w:p w14:paraId="06F8AF6A" w14:textId="77777777" w:rsidR="00D04DD7" w:rsidRPr="002845C6" w:rsidRDefault="00D04DD7" w:rsidP="00D04DD7">
      <w:pPr>
        <w:pBdr>
          <w:top w:val="nil"/>
          <w:left w:val="nil"/>
          <w:bottom w:val="nil"/>
          <w:right w:val="nil"/>
          <w:between w:val="nil"/>
        </w:pBdr>
        <w:spacing w:before="120" w:after="120"/>
        <w:rPr>
          <w:sz w:val="22"/>
          <w:szCs w:val="22"/>
        </w:rPr>
      </w:pPr>
      <w:r w:rsidRPr="002845C6">
        <w:rPr>
          <w:b/>
          <w:bCs/>
          <w:sz w:val="22"/>
          <w:szCs w:val="22"/>
        </w:rPr>
        <w:t>Recommendation 4:</w:t>
      </w:r>
      <w:r w:rsidRPr="002845C6">
        <w:rPr>
          <w:sz w:val="22"/>
          <w:szCs w:val="22"/>
        </w:rPr>
        <w:t xml:space="preserve"> Grantholders should plan for potential over-subscription and higher-than-expected repeat attendance, including strategies to manage capacity and maintaining </w:t>
      </w:r>
      <w:r w:rsidRPr="002845C6">
        <w:rPr>
          <w:sz w:val="22"/>
          <w:szCs w:val="22"/>
        </w:rPr>
        <w:lastRenderedPageBreak/>
        <w:t xml:space="preserve">equitable access. </w:t>
      </w:r>
      <w:r w:rsidRPr="002845C6">
        <w:rPr>
          <w:b/>
          <w:bCs/>
          <w:sz w:val="22"/>
          <w:szCs w:val="22"/>
        </w:rPr>
        <w:t>Rationale:</w:t>
      </w:r>
      <w:r w:rsidRPr="002845C6">
        <w:rPr>
          <w:sz w:val="22"/>
          <w:szCs w:val="22"/>
        </w:rPr>
        <w:t xml:space="preserve"> The MHF-funded activities were sometimes oversubscribed, with many grantholders operating waiting lists or having to reduce advertising to manage numbers. At the same time, participation can drop significantly during winter months due to cold and dark evenings, as well as during periods like Ramadan or school exams. Delivery plans should anticipate this volatility, and budgets should account for potential mitigations like hiring indoor venues, higher heating costs, or extra safety equipment (e.g., reflective clothing for outdoor work).</w:t>
      </w:r>
    </w:p>
    <w:p w14:paraId="0D6E1D86" w14:textId="77777777" w:rsidR="00D04DD7" w:rsidRPr="002845C6" w:rsidRDefault="00D04DD7" w:rsidP="00D04DD7">
      <w:pPr>
        <w:pBdr>
          <w:top w:val="nil"/>
          <w:left w:val="nil"/>
          <w:bottom w:val="nil"/>
          <w:right w:val="nil"/>
          <w:between w:val="nil"/>
        </w:pBdr>
        <w:spacing w:before="120" w:after="120"/>
        <w:rPr>
          <w:sz w:val="22"/>
          <w:szCs w:val="22"/>
        </w:rPr>
      </w:pPr>
      <w:r w:rsidRPr="002845C6">
        <w:rPr>
          <w:b/>
          <w:bCs/>
          <w:sz w:val="22"/>
          <w:szCs w:val="22"/>
        </w:rPr>
        <w:t>Recommendation 5:</w:t>
      </w:r>
      <w:r w:rsidRPr="002845C6">
        <w:rPr>
          <w:sz w:val="22"/>
          <w:szCs w:val="22"/>
        </w:rPr>
        <w:t xml:space="preserve"> Grantholders should plan activities that are attractive and inviting for all likely and/or desired beneficiary groups. To improve engagement with groups like older teens (16-18) and girls, grantholders should consider targeted strategies such as girls-only sessions and female-led activities (for girls</w:t>
      </w:r>
      <w:proofErr w:type="gramStart"/>
      <w:r w:rsidRPr="002845C6">
        <w:rPr>
          <w:sz w:val="22"/>
          <w:szCs w:val="22"/>
        </w:rPr>
        <w:t>), and</w:t>
      </w:r>
      <w:proofErr w:type="gramEnd"/>
      <w:r w:rsidRPr="002845C6">
        <w:rPr>
          <w:sz w:val="22"/>
          <w:szCs w:val="22"/>
        </w:rPr>
        <w:t xml:space="preserve"> offering clear progression pathways like volunteering or paid roles and project endpoints like certificates or performances (for older teens). </w:t>
      </w:r>
      <w:r w:rsidRPr="002845C6">
        <w:rPr>
          <w:b/>
          <w:bCs/>
          <w:sz w:val="22"/>
          <w:szCs w:val="22"/>
        </w:rPr>
        <w:t>Rationale:</w:t>
      </w:r>
      <w:r w:rsidRPr="002845C6">
        <w:rPr>
          <w:sz w:val="22"/>
          <w:szCs w:val="22"/>
        </w:rPr>
        <w:t xml:space="preserve"> The full report found that young girls are less likely to take part in mixed-gender sports activities and that older teens welcome activities that offer certificates or have other value for their future personal and professional lives.</w:t>
      </w:r>
    </w:p>
    <w:p w14:paraId="546F5101" w14:textId="77777777" w:rsidR="00D04DD7" w:rsidRPr="00207018" w:rsidRDefault="00D04DD7" w:rsidP="00D04DD7">
      <w:pPr>
        <w:pBdr>
          <w:top w:val="nil"/>
          <w:left w:val="nil"/>
          <w:bottom w:val="nil"/>
          <w:right w:val="nil"/>
          <w:between w:val="nil"/>
        </w:pBdr>
        <w:spacing w:before="120" w:after="120"/>
        <w:rPr>
          <w:sz w:val="22"/>
          <w:szCs w:val="22"/>
        </w:rPr>
      </w:pPr>
      <w:r w:rsidRPr="002845C6">
        <w:rPr>
          <w:b/>
          <w:bCs/>
          <w:sz w:val="22"/>
          <w:szCs w:val="22"/>
        </w:rPr>
        <w:t xml:space="preserve">Recommendation 6: </w:t>
      </w:r>
      <w:r w:rsidRPr="002845C6">
        <w:rPr>
          <w:sz w:val="22"/>
          <w:szCs w:val="22"/>
        </w:rPr>
        <w:t xml:space="preserve">Grantholders should empower </w:t>
      </w:r>
      <w:r>
        <w:rPr>
          <w:sz w:val="22"/>
          <w:szCs w:val="22"/>
        </w:rPr>
        <w:t>YP</w:t>
      </w:r>
      <w:r w:rsidRPr="002845C6">
        <w:rPr>
          <w:sz w:val="22"/>
          <w:szCs w:val="22"/>
        </w:rPr>
        <w:t xml:space="preserve"> through co-design of activities. Youth voice and co-design are central to successful delivery. </w:t>
      </w:r>
      <w:r w:rsidRPr="002845C6">
        <w:rPr>
          <w:b/>
          <w:bCs/>
          <w:sz w:val="22"/>
          <w:szCs w:val="22"/>
        </w:rPr>
        <w:t>Rationale</w:t>
      </w:r>
      <w:r w:rsidRPr="002845C6">
        <w:rPr>
          <w:sz w:val="22"/>
          <w:szCs w:val="22"/>
        </w:rPr>
        <w:t>: Involving YP in shaping activities through feedback forms, youth committees, or informal conversations creates a sense of ownership and ensures the provision meets their needs.</w:t>
      </w:r>
    </w:p>
    <w:p w14:paraId="4D837D76" w14:textId="77777777" w:rsidR="00D04DD7" w:rsidRPr="002845C6" w:rsidRDefault="00D04DD7" w:rsidP="00D04DD7">
      <w:pPr>
        <w:pBdr>
          <w:top w:val="nil"/>
          <w:left w:val="nil"/>
          <w:bottom w:val="nil"/>
          <w:right w:val="nil"/>
          <w:between w:val="nil"/>
        </w:pBdr>
        <w:spacing w:before="120" w:after="120"/>
        <w:rPr>
          <w:sz w:val="22"/>
          <w:szCs w:val="22"/>
        </w:rPr>
      </w:pPr>
      <w:r w:rsidRPr="002845C6">
        <w:rPr>
          <w:b/>
          <w:bCs/>
          <w:sz w:val="22"/>
          <w:szCs w:val="22"/>
        </w:rPr>
        <w:t xml:space="preserve">Recommendation 7: </w:t>
      </w:r>
      <w:r w:rsidRPr="002845C6">
        <w:rPr>
          <w:sz w:val="22"/>
          <w:szCs w:val="22"/>
        </w:rPr>
        <w:t xml:space="preserve">Grantholders should utilise the most effective promotional channels. </w:t>
      </w:r>
      <w:r w:rsidRPr="002845C6">
        <w:rPr>
          <w:b/>
          <w:bCs/>
          <w:sz w:val="22"/>
          <w:szCs w:val="22"/>
        </w:rPr>
        <w:t>Rationale:</w:t>
      </w:r>
      <w:r w:rsidRPr="002845C6">
        <w:rPr>
          <w:sz w:val="22"/>
          <w:szCs w:val="22"/>
        </w:rPr>
        <w:t xml:space="preserve"> The most successful methods for reaching YP are youth-focused social media platforms like Instagram and TikTok, and direct engagement in schools through assemblies and lunchtime pop-ups. Word of mouth is another effective recruitment tool, with many participants joining because they were invited by friends or siblings.</w:t>
      </w:r>
    </w:p>
    <w:p w14:paraId="4870F980" w14:textId="77777777" w:rsidR="00D04DD7" w:rsidRPr="002845C6" w:rsidRDefault="00D04DD7" w:rsidP="00D04DD7">
      <w:pPr>
        <w:pBdr>
          <w:top w:val="nil"/>
          <w:left w:val="nil"/>
          <w:bottom w:val="nil"/>
          <w:right w:val="nil"/>
          <w:between w:val="nil"/>
        </w:pBdr>
        <w:spacing w:before="120" w:after="120"/>
        <w:rPr>
          <w:sz w:val="22"/>
          <w:szCs w:val="22"/>
        </w:rPr>
      </w:pPr>
      <w:r w:rsidRPr="00207018">
        <w:rPr>
          <w:b/>
          <w:bCs/>
          <w:sz w:val="22"/>
          <w:szCs w:val="22"/>
        </w:rPr>
        <w:t xml:space="preserve">Recommendation </w:t>
      </w:r>
      <w:r w:rsidRPr="002845C6">
        <w:rPr>
          <w:b/>
          <w:bCs/>
          <w:sz w:val="22"/>
          <w:szCs w:val="22"/>
        </w:rPr>
        <w:t>8</w:t>
      </w:r>
      <w:r w:rsidRPr="00207018">
        <w:rPr>
          <w:b/>
          <w:bCs/>
          <w:sz w:val="22"/>
          <w:szCs w:val="22"/>
        </w:rPr>
        <w:t xml:space="preserve">: </w:t>
      </w:r>
      <w:r w:rsidRPr="00207018">
        <w:rPr>
          <w:sz w:val="22"/>
          <w:szCs w:val="22"/>
        </w:rPr>
        <w:t xml:space="preserve">Grantholders should deliver activities that focus on behaviour change. </w:t>
      </w:r>
      <w:r w:rsidRPr="00207018">
        <w:rPr>
          <w:b/>
          <w:bCs/>
          <w:sz w:val="22"/>
          <w:szCs w:val="22"/>
        </w:rPr>
        <w:t xml:space="preserve">Rationale: </w:t>
      </w:r>
      <w:r w:rsidRPr="00207018">
        <w:rPr>
          <w:sz w:val="22"/>
          <w:szCs w:val="22"/>
        </w:rPr>
        <w:t xml:space="preserve">A relational approach based on mentoring, building trust, and using restorative conversations after </w:t>
      </w:r>
      <w:proofErr w:type="gramStart"/>
      <w:r w:rsidRPr="00207018">
        <w:rPr>
          <w:sz w:val="22"/>
          <w:szCs w:val="22"/>
        </w:rPr>
        <w:t xml:space="preserve">incidents  </w:t>
      </w:r>
      <w:r w:rsidRPr="002845C6">
        <w:rPr>
          <w:sz w:val="22"/>
          <w:szCs w:val="22"/>
        </w:rPr>
        <w:t>of</w:t>
      </w:r>
      <w:proofErr w:type="gramEnd"/>
      <w:r w:rsidRPr="002845C6">
        <w:rPr>
          <w:sz w:val="22"/>
          <w:szCs w:val="22"/>
        </w:rPr>
        <w:t xml:space="preserve"> violence or verbal aggression </w:t>
      </w:r>
      <w:r w:rsidRPr="00207018">
        <w:rPr>
          <w:sz w:val="22"/>
          <w:szCs w:val="22"/>
        </w:rPr>
        <w:t xml:space="preserve">appears effective in helping </w:t>
      </w:r>
      <w:r>
        <w:rPr>
          <w:sz w:val="22"/>
          <w:szCs w:val="22"/>
        </w:rPr>
        <w:t>YP</w:t>
      </w:r>
      <w:r w:rsidRPr="00207018">
        <w:rPr>
          <w:sz w:val="22"/>
          <w:szCs w:val="22"/>
        </w:rPr>
        <w:t xml:space="preserve"> develop emotional regulation and reduces the likelihood of behavioural escalation. Grantholders should incorporate targeted educational sessions on issues relevant to local young </w:t>
      </w:r>
      <w:r>
        <w:rPr>
          <w:sz w:val="22"/>
          <w:szCs w:val="22"/>
        </w:rPr>
        <w:t>YP</w:t>
      </w:r>
      <w:r w:rsidRPr="00207018">
        <w:rPr>
          <w:sz w:val="22"/>
          <w:szCs w:val="22"/>
        </w:rPr>
        <w:t>, such as knife crime, substance misuse, and online safety, often delivered in partnership with police or specialist agencies.</w:t>
      </w:r>
    </w:p>
    <w:p w14:paraId="312070FA" w14:textId="77777777" w:rsidR="00D04DD7" w:rsidRPr="00207018" w:rsidRDefault="00D04DD7" w:rsidP="00D04DD7">
      <w:pPr>
        <w:pBdr>
          <w:top w:val="nil"/>
          <w:left w:val="nil"/>
          <w:bottom w:val="nil"/>
          <w:right w:val="nil"/>
          <w:between w:val="nil"/>
        </w:pBdr>
        <w:spacing w:before="120" w:after="120"/>
        <w:rPr>
          <w:sz w:val="22"/>
          <w:szCs w:val="22"/>
        </w:rPr>
      </w:pPr>
      <w:r w:rsidRPr="002845C6">
        <w:rPr>
          <w:b/>
          <w:bCs/>
          <w:sz w:val="22"/>
          <w:szCs w:val="22"/>
        </w:rPr>
        <w:t xml:space="preserve">Recommendation 9: </w:t>
      </w:r>
      <w:r w:rsidRPr="002845C6">
        <w:rPr>
          <w:sz w:val="22"/>
          <w:szCs w:val="22"/>
        </w:rPr>
        <w:t>For future funds, DCMS</w:t>
      </w:r>
      <w:r>
        <w:rPr>
          <w:sz w:val="22"/>
          <w:szCs w:val="22"/>
        </w:rPr>
        <w:t xml:space="preserve"> and other funders</w:t>
      </w:r>
      <w:r w:rsidRPr="002845C6">
        <w:rPr>
          <w:sz w:val="22"/>
          <w:szCs w:val="22"/>
        </w:rPr>
        <w:t xml:space="preserve"> should consider naming and branding that emphasises intended outcomes for </w:t>
      </w:r>
      <w:r>
        <w:rPr>
          <w:sz w:val="22"/>
          <w:szCs w:val="22"/>
        </w:rPr>
        <w:t>YP</w:t>
      </w:r>
      <w:r w:rsidRPr="002845C6">
        <w:rPr>
          <w:sz w:val="22"/>
          <w:szCs w:val="22"/>
        </w:rPr>
        <w:t xml:space="preserve"> and communities rather than delivery volumes or numeric targets. </w:t>
      </w:r>
      <w:r w:rsidRPr="002845C6">
        <w:rPr>
          <w:b/>
          <w:bCs/>
          <w:sz w:val="22"/>
          <w:szCs w:val="22"/>
        </w:rPr>
        <w:t>Rationale:</w:t>
      </w:r>
      <w:r w:rsidRPr="002845C6">
        <w:rPr>
          <w:sz w:val="22"/>
          <w:szCs w:val="22"/>
        </w:rPr>
        <w:t xml:space="preserve"> The name "Million Hours Fund" placed a heavy focus on a single delivery metric, which risked narrowing the public and ministerial perception of success. Future funds should be named and branded in a way that reflects their intended outcomes (e.g., youth safety, community cohesion) rather than being limited to their outputs (e.g., hours delivered).</w:t>
      </w:r>
    </w:p>
    <w:p w14:paraId="4CB322B5" w14:textId="77777777" w:rsidR="00DF6F83" w:rsidRPr="00391F55" w:rsidRDefault="00DF6F83" w:rsidP="00391F55">
      <w:pPr>
        <w:pStyle w:val="Heading1"/>
        <w:numPr>
          <w:ilvl w:val="0"/>
          <w:numId w:val="0"/>
        </w:numPr>
      </w:pPr>
      <w:r w:rsidRPr="00391F55">
        <w:lastRenderedPageBreak/>
        <w:t xml:space="preserve">Million Hours Fund: key statistics </w:t>
      </w:r>
      <w:proofErr w:type="gramStart"/>
      <w:r w:rsidRPr="00391F55">
        <w:t>at a glance</w:t>
      </w:r>
      <w:proofErr w:type="gramEnd"/>
    </w:p>
    <w:p w14:paraId="0F474BF4" w14:textId="5314A8DB" w:rsidR="00DF6F83" w:rsidRPr="004A1789" w:rsidRDefault="00DF6F83" w:rsidP="00DF6F83">
      <w:pPr>
        <w:pBdr>
          <w:top w:val="nil"/>
          <w:left w:val="nil"/>
          <w:bottom w:val="nil"/>
          <w:right w:val="nil"/>
          <w:between w:val="nil"/>
        </w:pBdr>
        <w:spacing w:before="120" w:after="120"/>
        <w:rPr>
          <w:sz w:val="22"/>
          <w:szCs w:val="22"/>
        </w:rPr>
      </w:pPr>
      <w:r>
        <w:rPr>
          <w:sz w:val="22"/>
          <w:szCs w:val="22"/>
        </w:rPr>
        <w:t>Below is</w:t>
      </w:r>
      <w:r w:rsidRPr="004A1789">
        <w:rPr>
          <w:sz w:val="22"/>
          <w:szCs w:val="22"/>
        </w:rPr>
        <w:t xml:space="preserve"> a summary of key data points from the </w:t>
      </w:r>
      <w:r>
        <w:rPr>
          <w:sz w:val="22"/>
          <w:szCs w:val="22"/>
        </w:rPr>
        <w:t>s</w:t>
      </w:r>
      <w:r w:rsidRPr="004A1789">
        <w:rPr>
          <w:sz w:val="22"/>
          <w:szCs w:val="22"/>
        </w:rPr>
        <w:t xml:space="preserve">econd </w:t>
      </w:r>
      <w:r>
        <w:rPr>
          <w:sz w:val="22"/>
          <w:szCs w:val="22"/>
        </w:rPr>
        <w:t>i</w:t>
      </w:r>
      <w:r w:rsidRPr="004A1789">
        <w:rPr>
          <w:sz w:val="22"/>
          <w:szCs w:val="22"/>
        </w:rPr>
        <w:t xml:space="preserve">nterim </w:t>
      </w:r>
      <w:r>
        <w:rPr>
          <w:sz w:val="22"/>
          <w:szCs w:val="22"/>
        </w:rPr>
        <w:t>e</w:t>
      </w:r>
      <w:r w:rsidRPr="004A1789">
        <w:rPr>
          <w:sz w:val="22"/>
          <w:szCs w:val="22"/>
        </w:rPr>
        <w:t xml:space="preserve">valuation of the MHF. These statistics offer a more detailed look into the </w:t>
      </w:r>
      <w:r w:rsidR="00891AAE">
        <w:rPr>
          <w:sz w:val="22"/>
          <w:szCs w:val="22"/>
        </w:rPr>
        <w:t>MHF</w:t>
      </w:r>
      <w:r w:rsidRPr="004A1789">
        <w:rPr>
          <w:sz w:val="22"/>
          <w:szCs w:val="22"/>
        </w:rPr>
        <w:t xml:space="preserve"> delivery, reach, and impact, supplementing the high-level findings presented in the Executive Summary.</w:t>
      </w:r>
    </w:p>
    <w:p w14:paraId="3D398D15" w14:textId="77777777" w:rsidR="00DF6F83" w:rsidRPr="00391F55" w:rsidRDefault="00DF6F83" w:rsidP="00391F55">
      <w:pPr>
        <w:pStyle w:val="Heading2"/>
        <w:numPr>
          <w:ilvl w:val="0"/>
          <w:numId w:val="0"/>
        </w:numPr>
        <w:rPr>
          <w:rFonts w:eastAsia="Arial"/>
          <w:sz w:val="28"/>
          <w:szCs w:val="22"/>
        </w:rPr>
      </w:pPr>
      <w:r w:rsidRPr="00391F55">
        <w:rPr>
          <w:rFonts w:eastAsia="Arial"/>
          <w:sz w:val="28"/>
          <w:szCs w:val="22"/>
        </w:rPr>
        <w:t>Programme reach and delivery</w:t>
      </w:r>
    </w:p>
    <w:p w14:paraId="63E6365E" w14:textId="77777777" w:rsidR="00DF6F83" w:rsidRPr="004A1789" w:rsidRDefault="00DF6F83" w:rsidP="00293FB1">
      <w:pPr>
        <w:numPr>
          <w:ilvl w:val="0"/>
          <w:numId w:val="13"/>
        </w:numPr>
        <w:pBdr>
          <w:top w:val="nil"/>
          <w:left w:val="nil"/>
          <w:bottom w:val="nil"/>
          <w:right w:val="nil"/>
          <w:between w:val="nil"/>
        </w:pBdr>
        <w:spacing w:before="120" w:after="120"/>
        <w:rPr>
          <w:sz w:val="22"/>
          <w:szCs w:val="22"/>
        </w:rPr>
      </w:pPr>
      <w:r w:rsidRPr="004A1789">
        <w:rPr>
          <w:b/>
          <w:bCs/>
          <w:sz w:val="22"/>
          <w:szCs w:val="22"/>
        </w:rPr>
        <w:t>2.6 million</w:t>
      </w:r>
      <w:r w:rsidRPr="004A1789">
        <w:rPr>
          <w:sz w:val="22"/>
          <w:szCs w:val="22"/>
        </w:rPr>
        <w:t xml:space="preserve"> </w:t>
      </w:r>
      <w:r>
        <w:rPr>
          <w:b/>
          <w:bCs/>
          <w:sz w:val="22"/>
          <w:szCs w:val="22"/>
        </w:rPr>
        <w:t>a</w:t>
      </w:r>
      <w:r w:rsidRPr="004A1789">
        <w:rPr>
          <w:b/>
          <w:bCs/>
          <w:sz w:val="22"/>
          <w:szCs w:val="22"/>
        </w:rPr>
        <w:t xml:space="preserve">dditional </w:t>
      </w:r>
      <w:r>
        <w:rPr>
          <w:b/>
          <w:bCs/>
          <w:sz w:val="22"/>
          <w:szCs w:val="22"/>
        </w:rPr>
        <w:t>h</w:t>
      </w:r>
      <w:r w:rsidRPr="004A1789">
        <w:rPr>
          <w:b/>
          <w:bCs/>
          <w:sz w:val="22"/>
          <w:szCs w:val="22"/>
        </w:rPr>
        <w:t xml:space="preserve">ours of </w:t>
      </w:r>
      <w:r>
        <w:rPr>
          <w:b/>
          <w:bCs/>
          <w:sz w:val="22"/>
          <w:szCs w:val="22"/>
        </w:rPr>
        <w:t>y</w:t>
      </w:r>
      <w:r w:rsidRPr="004A1789">
        <w:rPr>
          <w:b/>
          <w:bCs/>
          <w:sz w:val="22"/>
          <w:szCs w:val="22"/>
        </w:rPr>
        <w:t xml:space="preserve">outh </w:t>
      </w:r>
      <w:r>
        <w:rPr>
          <w:b/>
          <w:bCs/>
          <w:sz w:val="22"/>
          <w:szCs w:val="22"/>
        </w:rPr>
        <w:t>a</w:t>
      </w:r>
      <w:r w:rsidRPr="004A1789">
        <w:rPr>
          <w:b/>
          <w:bCs/>
          <w:sz w:val="22"/>
          <w:szCs w:val="22"/>
        </w:rPr>
        <w:t xml:space="preserve">ctivities </w:t>
      </w:r>
      <w:r>
        <w:rPr>
          <w:b/>
          <w:bCs/>
          <w:sz w:val="22"/>
          <w:szCs w:val="22"/>
        </w:rPr>
        <w:t>d</w:t>
      </w:r>
      <w:r w:rsidRPr="004A1789">
        <w:rPr>
          <w:b/>
          <w:bCs/>
          <w:sz w:val="22"/>
          <w:szCs w:val="22"/>
        </w:rPr>
        <w:t>elivered</w:t>
      </w:r>
      <w:r w:rsidRPr="004A1789">
        <w:rPr>
          <w:sz w:val="22"/>
          <w:szCs w:val="22"/>
        </w:rPr>
        <w:t xml:space="preserve"> </w:t>
      </w:r>
    </w:p>
    <w:p w14:paraId="11C0A8E4" w14:textId="77777777" w:rsidR="00DF6F83" w:rsidRPr="004A1789" w:rsidRDefault="00DF6F83" w:rsidP="00DF6F83">
      <w:pPr>
        <w:pBdr>
          <w:top w:val="nil"/>
          <w:left w:val="nil"/>
          <w:bottom w:val="nil"/>
          <w:right w:val="nil"/>
          <w:between w:val="nil"/>
        </w:pBdr>
        <w:spacing w:before="120" w:after="120"/>
        <w:rPr>
          <w:sz w:val="22"/>
          <w:szCs w:val="22"/>
        </w:rPr>
      </w:pPr>
      <w:r w:rsidRPr="004A1789">
        <w:rPr>
          <w:sz w:val="22"/>
          <w:szCs w:val="22"/>
        </w:rPr>
        <w:t xml:space="preserve">As of June 2025, the </w:t>
      </w:r>
      <w:r>
        <w:rPr>
          <w:sz w:val="22"/>
          <w:szCs w:val="22"/>
        </w:rPr>
        <w:t>MHF</w:t>
      </w:r>
      <w:r w:rsidRPr="004A1789">
        <w:rPr>
          <w:sz w:val="22"/>
          <w:szCs w:val="22"/>
        </w:rPr>
        <w:t xml:space="preserve"> has substantially exceeded its original one-million-hour target, showcasing the scale of delivery.</w:t>
      </w:r>
    </w:p>
    <w:p w14:paraId="271BE628" w14:textId="77777777" w:rsidR="00DF6F83" w:rsidRPr="004A1789" w:rsidRDefault="00DF6F83" w:rsidP="00293FB1">
      <w:pPr>
        <w:numPr>
          <w:ilvl w:val="0"/>
          <w:numId w:val="13"/>
        </w:numPr>
        <w:pBdr>
          <w:top w:val="nil"/>
          <w:left w:val="nil"/>
          <w:bottom w:val="nil"/>
          <w:right w:val="nil"/>
          <w:between w:val="nil"/>
        </w:pBdr>
        <w:spacing w:before="120" w:after="120"/>
        <w:rPr>
          <w:sz w:val="22"/>
          <w:szCs w:val="22"/>
        </w:rPr>
      </w:pPr>
      <w:r w:rsidRPr="004A1789">
        <w:rPr>
          <w:b/>
          <w:bCs/>
          <w:sz w:val="22"/>
          <w:szCs w:val="22"/>
        </w:rPr>
        <w:t>86%</w:t>
      </w:r>
      <w:r w:rsidRPr="004A1789">
        <w:rPr>
          <w:sz w:val="22"/>
          <w:szCs w:val="22"/>
        </w:rPr>
        <w:t xml:space="preserve"> </w:t>
      </w:r>
      <w:r>
        <w:rPr>
          <w:b/>
          <w:bCs/>
          <w:sz w:val="22"/>
          <w:szCs w:val="22"/>
        </w:rPr>
        <w:t>o</w:t>
      </w:r>
      <w:r w:rsidRPr="004A1789">
        <w:rPr>
          <w:b/>
          <w:bCs/>
          <w:sz w:val="22"/>
          <w:szCs w:val="22"/>
        </w:rPr>
        <w:t xml:space="preserve">f </w:t>
      </w:r>
      <w:r>
        <w:rPr>
          <w:b/>
          <w:bCs/>
          <w:sz w:val="22"/>
          <w:szCs w:val="22"/>
        </w:rPr>
        <w:t>g</w:t>
      </w:r>
      <w:r w:rsidRPr="004A1789">
        <w:rPr>
          <w:b/>
          <w:bCs/>
          <w:sz w:val="22"/>
          <w:szCs w:val="22"/>
        </w:rPr>
        <w:t xml:space="preserve">rantholders </w:t>
      </w:r>
      <w:r>
        <w:rPr>
          <w:b/>
          <w:bCs/>
          <w:sz w:val="22"/>
          <w:szCs w:val="22"/>
        </w:rPr>
        <w:t>u</w:t>
      </w:r>
      <w:r w:rsidRPr="004A1789">
        <w:rPr>
          <w:b/>
          <w:bCs/>
          <w:sz w:val="22"/>
          <w:szCs w:val="22"/>
        </w:rPr>
        <w:t xml:space="preserve">sed </w:t>
      </w:r>
      <w:r>
        <w:rPr>
          <w:b/>
          <w:bCs/>
          <w:sz w:val="22"/>
          <w:szCs w:val="22"/>
        </w:rPr>
        <w:t>f</w:t>
      </w:r>
      <w:r w:rsidRPr="004A1789">
        <w:rPr>
          <w:b/>
          <w:bCs/>
          <w:sz w:val="22"/>
          <w:szCs w:val="22"/>
        </w:rPr>
        <w:t xml:space="preserve">unding to </w:t>
      </w:r>
      <w:r>
        <w:rPr>
          <w:b/>
          <w:bCs/>
          <w:sz w:val="22"/>
          <w:szCs w:val="22"/>
        </w:rPr>
        <w:t>p</w:t>
      </w:r>
      <w:r w:rsidRPr="004A1789">
        <w:rPr>
          <w:b/>
          <w:bCs/>
          <w:sz w:val="22"/>
          <w:szCs w:val="22"/>
        </w:rPr>
        <w:t xml:space="preserve">ay for </w:t>
      </w:r>
      <w:r>
        <w:rPr>
          <w:b/>
          <w:bCs/>
          <w:sz w:val="22"/>
          <w:szCs w:val="22"/>
        </w:rPr>
        <w:t>y</w:t>
      </w:r>
      <w:r w:rsidRPr="004A1789">
        <w:rPr>
          <w:b/>
          <w:bCs/>
          <w:sz w:val="22"/>
          <w:szCs w:val="22"/>
        </w:rPr>
        <w:t xml:space="preserve">outh </w:t>
      </w:r>
      <w:r>
        <w:rPr>
          <w:b/>
          <w:bCs/>
          <w:sz w:val="22"/>
          <w:szCs w:val="22"/>
        </w:rPr>
        <w:t>w</w:t>
      </w:r>
      <w:r w:rsidRPr="004A1789">
        <w:rPr>
          <w:b/>
          <w:bCs/>
          <w:sz w:val="22"/>
          <w:szCs w:val="22"/>
        </w:rPr>
        <w:t xml:space="preserve">orker </w:t>
      </w:r>
      <w:r>
        <w:rPr>
          <w:b/>
          <w:bCs/>
          <w:sz w:val="22"/>
          <w:szCs w:val="22"/>
        </w:rPr>
        <w:t>t</w:t>
      </w:r>
      <w:r w:rsidRPr="004A1789">
        <w:rPr>
          <w:b/>
          <w:bCs/>
          <w:sz w:val="22"/>
          <w:szCs w:val="22"/>
        </w:rPr>
        <w:t>ime</w:t>
      </w:r>
      <w:r w:rsidRPr="004A1789">
        <w:rPr>
          <w:sz w:val="22"/>
          <w:szCs w:val="22"/>
        </w:rPr>
        <w:t xml:space="preserve"> </w:t>
      </w:r>
    </w:p>
    <w:p w14:paraId="74595043" w14:textId="77777777" w:rsidR="00DF6F83" w:rsidRPr="004A1789" w:rsidRDefault="00DF6F83" w:rsidP="00DF6F83">
      <w:pPr>
        <w:pBdr>
          <w:top w:val="nil"/>
          <w:left w:val="nil"/>
          <w:bottom w:val="nil"/>
          <w:right w:val="nil"/>
          <w:between w:val="nil"/>
        </w:pBdr>
        <w:spacing w:before="120" w:after="120"/>
        <w:rPr>
          <w:sz w:val="22"/>
          <w:szCs w:val="22"/>
        </w:rPr>
      </w:pPr>
      <w:r w:rsidRPr="004A1789">
        <w:rPr>
          <w:sz w:val="22"/>
          <w:szCs w:val="22"/>
        </w:rPr>
        <w:t xml:space="preserve">This highlights that the </w:t>
      </w:r>
      <w:r>
        <w:rPr>
          <w:sz w:val="22"/>
          <w:szCs w:val="22"/>
        </w:rPr>
        <w:t>MHF</w:t>
      </w:r>
      <w:r w:rsidRPr="004A1789">
        <w:rPr>
          <w:sz w:val="22"/>
          <w:szCs w:val="22"/>
        </w:rPr>
        <w:t>'s primary investment was in people and professional capacity, directly supporting the youth work sector workforce.</w:t>
      </w:r>
    </w:p>
    <w:p w14:paraId="21692256" w14:textId="77777777" w:rsidR="00DF6F83" w:rsidRPr="004A1789" w:rsidRDefault="00DF6F83" w:rsidP="00293FB1">
      <w:pPr>
        <w:numPr>
          <w:ilvl w:val="0"/>
          <w:numId w:val="13"/>
        </w:numPr>
        <w:pBdr>
          <w:top w:val="nil"/>
          <w:left w:val="nil"/>
          <w:bottom w:val="nil"/>
          <w:right w:val="nil"/>
          <w:between w:val="nil"/>
        </w:pBdr>
        <w:spacing w:before="120" w:after="120"/>
        <w:rPr>
          <w:sz w:val="22"/>
          <w:szCs w:val="22"/>
        </w:rPr>
      </w:pPr>
      <w:r w:rsidRPr="004A1789">
        <w:rPr>
          <w:b/>
          <w:bCs/>
          <w:sz w:val="22"/>
          <w:szCs w:val="22"/>
        </w:rPr>
        <w:t>79%</w:t>
      </w:r>
      <w:r w:rsidRPr="004A1789">
        <w:rPr>
          <w:sz w:val="22"/>
          <w:szCs w:val="22"/>
        </w:rPr>
        <w:t xml:space="preserve"> </w:t>
      </w:r>
      <w:r>
        <w:rPr>
          <w:b/>
          <w:bCs/>
          <w:sz w:val="22"/>
          <w:szCs w:val="22"/>
        </w:rPr>
        <w:t>o</w:t>
      </w:r>
      <w:r w:rsidRPr="004A1789">
        <w:rPr>
          <w:b/>
          <w:bCs/>
          <w:sz w:val="22"/>
          <w:szCs w:val="22"/>
        </w:rPr>
        <w:t xml:space="preserve">f </w:t>
      </w:r>
      <w:r>
        <w:rPr>
          <w:b/>
          <w:bCs/>
          <w:sz w:val="22"/>
          <w:szCs w:val="22"/>
        </w:rPr>
        <w:t>g</w:t>
      </w:r>
      <w:r w:rsidRPr="004A1789">
        <w:rPr>
          <w:b/>
          <w:bCs/>
          <w:sz w:val="22"/>
          <w:szCs w:val="22"/>
        </w:rPr>
        <w:t xml:space="preserve">rantholders </w:t>
      </w:r>
      <w:r>
        <w:rPr>
          <w:b/>
          <w:bCs/>
          <w:sz w:val="22"/>
          <w:szCs w:val="22"/>
        </w:rPr>
        <w:t>u</w:t>
      </w:r>
      <w:r w:rsidRPr="004A1789">
        <w:rPr>
          <w:b/>
          <w:bCs/>
          <w:sz w:val="22"/>
          <w:szCs w:val="22"/>
        </w:rPr>
        <w:t xml:space="preserve">sed </w:t>
      </w:r>
      <w:r>
        <w:rPr>
          <w:b/>
          <w:bCs/>
          <w:sz w:val="22"/>
          <w:szCs w:val="22"/>
        </w:rPr>
        <w:t>f</w:t>
      </w:r>
      <w:r w:rsidRPr="004A1789">
        <w:rPr>
          <w:b/>
          <w:bCs/>
          <w:sz w:val="22"/>
          <w:szCs w:val="22"/>
        </w:rPr>
        <w:t xml:space="preserve">unding to </w:t>
      </w:r>
      <w:r>
        <w:rPr>
          <w:b/>
          <w:bCs/>
          <w:sz w:val="22"/>
          <w:szCs w:val="22"/>
        </w:rPr>
        <w:t>p</w:t>
      </w:r>
      <w:r w:rsidRPr="004A1789">
        <w:rPr>
          <w:b/>
          <w:bCs/>
          <w:sz w:val="22"/>
          <w:szCs w:val="22"/>
        </w:rPr>
        <w:t xml:space="preserve">urchase </w:t>
      </w:r>
      <w:r>
        <w:rPr>
          <w:b/>
          <w:bCs/>
          <w:sz w:val="22"/>
          <w:szCs w:val="22"/>
        </w:rPr>
        <w:t>e</w:t>
      </w:r>
      <w:r w:rsidRPr="004A1789">
        <w:rPr>
          <w:b/>
          <w:bCs/>
          <w:sz w:val="22"/>
          <w:szCs w:val="22"/>
        </w:rPr>
        <w:t xml:space="preserve">quipment and </w:t>
      </w:r>
      <w:r>
        <w:rPr>
          <w:b/>
          <w:bCs/>
          <w:sz w:val="22"/>
          <w:szCs w:val="22"/>
        </w:rPr>
        <w:t>r</w:t>
      </w:r>
      <w:r w:rsidRPr="004A1789">
        <w:rPr>
          <w:b/>
          <w:bCs/>
          <w:sz w:val="22"/>
          <w:szCs w:val="22"/>
        </w:rPr>
        <w:t>esources</w:t>
      </w:r>
      <w:r w:rsidRPr="004A1789">
        <w:rPr>
          <w:sz w:val="22"/>
          <w:szCs w:val="22"/>
        </w:rPr>
        <w:t xml:space="preserve"> </w:t>
      </w:r>
    </w:p>
    <w:p w14:paraId="59570ACB" w14:textId="77777777" w:rsidR="00DF6F83" w:rsidRPr="004A1789" w:rsidRDefault="00DF6F83" w:rsidP="00DF6F83">
      <w:pPr>
        <w:pBdr>
          <w:top w:val="nil"/>
          <w:left w:val="nil"/>
          <w:bottom w:val="nil"/>
          <w:right w:val="nil"/>
          <w:between w:val="nil"/>
        </w:pBdr>
        <w:spacing w:before="120" w:after="120"/>
        <w:rPr>
          <w:sz w:val="22"/>
          <w:szCs w:val="22"/>
        </w:rPr>
      </w:pPr>
      <w:r w:rsidRPr="004A1789">
        <w:rPr>
          <w:sz w:val="22"/>
          <w:szCs w:val="22"/>
        </w:rPr>
        <w:t xml:space="preserve">This investment enabled organisations to enhance their activities, providing better facilities and materials for </w:t>
      </w:r>
      <w:r>
        <w:rPr>
          <w:sz w:val="22"/>
          <w:szCs w:val="22"/>
        </w:rPr>
        <w:t>YP</w:t>
      </w:r>
      <w:r w:rsidRPr="004A1789">
        <w:rPr>
          <w:sz w:val="22"/>
          <w:szCs w:val="22"/>
        </w:rPr>
        <w:t>.</w:t>
      </w:r>
    </w:p>
    <w:p w14:paraId="7B45E782" w14:textId="667B1053" w:rsidR="00DF6F83" w:rsidRPr="004A1789" w:rsidRDefault="00DF6F83" w:rsidP="00293FB1">
      <w:pPr>
        <w:numPr>
          <w:ilvl w:val="0"/>
          <w:numId w:val="13"/>
        </w:numPr>
        <w:pBdr>
          <w:top w:val="nil"/>
          <w:left w:val="nil"/>
          <w:bottom w:val="nil"/>
          <w:right w:val="nil"/>
          <w:between w:val="nil"/>
        </w:pBdr>
        <w:spacing w:before="120" w:after="120"/>
        <w:rPr>
          <w:sz w:val="22"/>
          <w:szCs w:val="22"/>
        </w:rPr>
      </w:pPr>
      <w:r w:rsidRPr="004A1789">
        <w:rPr>
          <w:b/>
          <w:bCs/>
          <w:sz w:val="22"/>
          <w:szCs w:val="22"/>
        </w:rPr>
        <w:t>96%</w:t>
      </w:r>
      <w:r w:rsidRPr="004A1789">
        <w:rPr>
          <w:sz w:val="22"/>
          <w:szCs w:val="22"/>
        </w:rPr>
        <w:t xml:space="preserve"> </w:t>
      </w:r>
      <w:r>
        <w:rPr>
          <w:b/>
          <w:bCs/>
          <w:sz w:val="22"/>
          <w:szCs w:val="22"/>
        </w:rPr>
        <w:t>o</w:t>
      </w:r>
      <w:r w:rsidRPr="004A1789">
        <w:rPr>
          <w:b/>
          <w:bCs/>
          <w:sz w:val="22"/>
          <w:szCs w:val="22"/>
        </w:rPr>
        <w:t xml:space="preserve">f </w:t>
      </w:r>
      <w:r>
        <w:rPr>
          <w:b/>
          <w:bCs/>
          <w:sz w:val="22"/>
          <w:szCs w:val="22"/>
        </w:rPr>
        <w:t>g</w:t>
      </w:r>
      <w:r w:rsidRPr="004A1789">
        <w:rPr>
          <w:b/>
          <w:bCs/>
          <w:sz w:val="22"/>
          <w:szCs w:val="22"/>
        </w:rPr>
        <w:t xml:space="preserve">rantholders </w:t>
      </w:r>
      <w:r>
        <w:rPr>
          <w:b/>
          <w:bCs/>
          <w:sz w:val="22"/>
          <w:szCs w:val="22"/>
        </w:rPr>
        <w:t>s</w:t>
      </w:r>
      <w:r w:rsidRPr="004A1789">
        <w:rPr>
          <w:b/>
          <w:bCs/>
          <w:sz w:val="22"/>
          <w:szCs w:val="22"/>
        </w:rPr>
        <w:t xml:space="preserve">aid the </w:t>
      </w:r>
      <w:r w:rsidR="00CC5488">
        <w:rPr>
          <w:b/>
          <w:bCs/>
          <w:sz w:val="22"/>
          <w:szCs w:val="22"/>
        </w:rPr>
        <w:t>MHF</w:t>
      </w:r>
      <w:r w:rsidRPr="004A1789">
        <w:rPr>
          <w:b/>
          <w:bCs/>
          <w:sz w:val="22"/>
          <w:szCs w:val="22"/>
        </w:rPr>
        <w:t xml:space="preserve"> </w:t>
      </w:r>
      <w:r>
        <w:rPr>
          <w:b/>
          <w:bCs/>
          <w:sz w:val="22"/>
          <w:szCs w:val="22"/>
        </w:rPr>
        <w:t>e</w:t>
      </w:r>
      <w:r w:rsidRPr="004A1789">
        <w:rPr>
          <w:b/>
          <w:bCs/>
          <w:sz w:val="22"/>
          <w:szCs w:val="22"/>
        </w:rPr>
        <w:t xml:space="preserve">nabled </w:t>
      </w:r>
      <w:r>
        <w:rPr>
          <w:b/>
          <w:bCs/>
          <w:sz w:val="22"/>
          <w:szCs w:val="22"/>
        </w:rPr>
        <w:t>t</w:t>
      </w:r>
      <w:r w:rsidRPr="004A1789">
        <w:rPr>
          <w:b/>
          <w:bCs/>
          <w:sz w:val="22"/>
          <w:szCs w:val="22"/>
        </w:rPr>
        <w:t xml:space="preserve">hem to </w:t>
      </w:r>
      <w:r>
        <w:rPr>
          <w:b/>
          <w:bCs/>
          <w:sz w:val="22"/>
          <w:szCs w:val="22"/>
        </w:rPr>
        <w:t>p</w:t>
      </w:r>
      <w:r w:rsidRPr="004A1789">
        <w:rPr>
          <w:b/>
          <w:bCs/>
          <w:sz w:val="22"/>
          <w:szCs w:val="22"/>
        </w:rPr>
        <w:t xml:space="preserve">rovide </w:t>
      </w:r>
      <w:r>
        <w:rPr>
          <w:b/>
          <w:bCs/>
          <w:sz w:val="22"/>
          <w:szCs w:val="22"/>
        </w:rPr>
        <w:t>a</w:t>
      </w:r>
      <w:r w:rsidRPr="004A1789">
        <w:rPr>
          <w:b/>
          <w:bCs/>
          <w:sz w:val="22"/>
          <w:szCs w:val="22"/>
        </w:rPr>
        <w:t xml:space="preserve">dditional </w:t>
      </w:r>
      <w:r>
        <w:rPr>
          <w:b/>
          <w:bCs/>
          <w:sz w:val="22"/>
          <w:szCs w:val="22"/>
        </w:rPr>
        <w:t>s</w:t>
      </w:r>
      <w:r w:rsidRPr="004A1789">
        <w:rPr>
          <w:b/>
          <w:bCs/>
          <w:sz w:val="22"/>
          <w:szCs w:val="22"/>
        </w:rPr>
        <w:t>ervices</w:t>
      </w:r>
      <w:r w:rsidRPr="004A1789">
        <w:rPr>
          <w:sz w:val="22"/>
          <w:szCs w:val="22"/>
        </w:rPr>
        <w:t xml:space="preserve"> </w:t>
      </w:r>
    </w:p>
    <w:p w14:paraId="43CF574B" w14:textId="77777777" w:rsidR="00DF6F83" w:rsidRPr="004A1789" w:rsidRDefault="00DF6F83" w:rsidP="00DF6F83">
      <w:pPr>
        <w:pBdr>
          <w:top w:val="nil"/>
          <w:left w:val="nil"/>
          <w:bottom w:val="nil"/>
          <w:right w:val="nil"/>
          <w:between w:val="nil"/>
        </w:pBdr>
        <w:spacing w:before="120" w:after="120"/>
        <w:rPr>
          <w:sz w:val="22"/>
          <w:szCs w:val="22"/>
        </w:rPr>
      </w:pPr>
      <w:r w:rsidRPr="004A1789">
        <w:rPr>
          <w:sz w:val="22"/>
          <w:szCs w:val="22"/>
        </w:rPr>
        <w:t>This near-unanimous finding confirms that the MHF grant was essential for expanding the breadth and depth of youth provision in targeted areas.</w:t>
      </w:r>
    </w:p>
    <w:p w14:paraId="0454B5D6" w14:textId="77777777" w:rsidR="00DF6F83" w:rsidRPr="004A1789" w:rsidRDefault="00DF6F83" w:rsidP="00293FB1">
      <w:pPr>
        <w:numPr>
          <w:ilvl w:val="0"/>
          <w:numId w:val="13"/>
        </w:numPr>
        <w:pBdr>
          <w:top w:val="nil"/>
          <w:left w:val="nil"/>
          <w:bottom w:val="nil"/>
          <w:right w:val="nil"/>
          <w:between w:val="nil"/>
        </w:pBdr>
        <w:spacing w:before="120" w:after="120"/>
        <w:rPr>
          <w:sz w:val="22"/>
          <w:szCs w:val="22"/>
        </w:rPr>
      </w:pPr>
      <w:r w:rsidRPr="004A1789">
        <w:rPr>
          <w:b/>
          <w:bCs/>
          <w:sz w:val="22"/>
          <w:szCs w:val="22"/>
        </w:rPr>
        <w:t>45%</w:t>
      </w:r>
      <w:r w:rsidRPr="004A1789">
        <w:rPr>
          <w:sz w:val="22"/>
          <w:szCs w:val="22"/>
        </w:rPr>
        <w:t xml:space="preserve"> </w:t>
      </w:r>
      <w:r>
        <w:rPr>
          <w:b/>
          <w:bCs/>
          <w:sz w:val="22"/>
          <w:szCs w:val="22"/>
        </w:rPr>
        <w:t>o</w:t>
      </w:r>
      <w:r w:rsidRPr="004A1789">
        <w:rPr>
          <w:b/>
          <w:bCs/>
          <w:sz w:val="22"/>
          <w:szCs w:val="22"/>
        </w:rPr>
        <w:t xml:space="preserve">f </w:t>
      </w:r>
      <w:r>
        <w:rPr>
          <w:b/>
          <w:bCs/>
          <w:sz w:val="22"/>
          <w:szCs w:val="22"/>
        </w:rPr>
        <w:t>g</w:t>
      </w:r>
      <w:r w:rsidRPr="004A1789">
        <w:rPr>
          <w:b/>
          <w:bCs/>
          <w:sz w:val="22"/>
          <w:szCs w:val="22"/>
        </w:rPr>
        <w:t xml:space="preserve">rantholders </w:t>
      </w:r>
      <w:r>
        <w:rPr>
          <w:b/>
          <w:bCs/>
          <w:sz w:val="22"/>
          <w:szCs w:val="22"/>
        </w:rPr>
        <w:t>u</w:t>
      </w:r>
      <w:r w:rsidRPr="004A1789">
        <w:rPr>
          <w:b/>
          <w:bCs/>
          <w:sz w:val="22"/>
          <w:szCs w:val="22"/>
        </w:rPr>
        <w:t xml:space="preserve">sed the </w:t>
      </w:r>
      <w:r>
        <w:rPr>
          <w:b/>
          <w:bCs/>
          <w:sz w:val="22"/>
          <w:szCs w:val="22"/>
        </w:rPr>
        <w:t>g</w:t>
      </w:r>
      <w:r w:rsidRPr="004A1789">
        <w:rPr>
          <w:b/>
          <w:bCs/>
          <w:sz w:val="22"/>
          <w:szCs w:val="22"/>
        </w:rPr>
        <w:t xml:space="preserve">rant for </w:t>
      </w:r>
      <w:r>
        <w:rPr>
          <w:b/>
          <w:bCs/>
          <w:sz w:val="22"/>
          <w:szCs w:val="22"/>
        </w:rPr>
        <w:t>s</w:t>
      </w:r>
      <w:r w:rsidRPr="004A1789">
        <w:rPr>
          <w:b/>
          <w:bCs/>
          <w:sz w:val="22"/>
          <w:szCs w:val="22"/>
        </w:rPr>
        <w:t xml:space="preserve">taff and </w:t>
      </w:r>
      <w:r>
        <w:rPr>
          <w:b/>
          <w:bCs/>
          <w:sz w:val="22"/>
          <w:szCs w:val="22"/>
        </w:rPr>
        <w:t>v</w:t>
      </w:r>
      <w:r w:rsidRPr="004A1789">
        <w:rPr>
          <w:b/>
          <w:bCs/>
          <w:sz w:val="22"/>
          <w:szCs w:val="22"/>
        </w:rPr>
        <w:t xml:space="preserve">olunteer </w:t>
      </w:r>
      <w:r>
        <w:rPr>
          <w:b/>
          <w:bCs/>
          <w:sz w:val="22"/>
          <w:szCs w:val="22"/>
        </w:rPr>
        <w:t>t</w:t>
      </w:r>
      <w:r w:rsidRPr="004A1789">
        <w:rPr>
          <w:b/>
          <w:bCs/>
          <w:sz w:val="22"/>
          <w:szCs w:val="22"/>
        </w:rPr>
        <w:t>raining</w:t>
      </w:r>
      <w:r w:rsidRPr="004A1789">
        <w:rPr>
          <w:sz w:val="22"/>
          <w:szCs w:val="22"/>
        </w:rPr>
        <w:t xml:space="preserve"> </w:t>
      </w:r>
    </w:p>
    <w:p w14:paraId="40D08133" w14:textId="77777777" w:rsidR="00DF6F83" w:rsidRPr="004A1789" w:rsidRDefault="00DF6F83" w:rsidP="00DF6F83">
      <w:pPr>
        <w:pBdr>
          <w:top w:val="nil"/>
          <w:left w:val="nil"/>
          <w:bottom w:val="nil"/>
          <w:right w:val="nil"/>
          <w:between w:val="nil"/>
        </w:pBdr>
        <w:spacing w:before="120" w:after="120"/>
        <w:rPr>
          <w:sz w:val="22"/>
          <w:szCs w:val="22"/>
        </w:rPr>
      </w:pPr>
      <w:r w:rsidRPr="004A1789">
        <w:rPr>
          <w:sz w:val="22"/>
          <w:szCs w:val="22"/>
        </w:rPr>
        <w:t xml:space="preserve">The </w:t>
      </w:r>
      <w:r>
        <w:rPr>
          <w:sz w:val="22"/>
          <w:szCs w:val="22"/>
        </w:rPr>
        <w:t>MHF</w:t>
      </w:r>
      <w:r w:rsidRPr="004A1789">
        <w:rPr>
          <w:sz w:val="22"/>
          <w:szCs w:val="22"/>
        </w:rPr>
        <w:t xml:space="preserve"> directly contributed to upskilling the youth sector workforce in areas like safeguarding, first aid, and trauma-informed practice</w:t>
      </w:r>
    </w:p>
    <w:p w14:paraId="19F94CAF" w14:textId="77777777" w:rsidR="00DF6F83" w:rsidRPr="00391F55" w:rsidRDefault="00DF6F83" w:rsidP="00391F55">
      <w:pPr>
        <w:pStyle w:val="Heading2"/>
        <w:numPr>
          <w:ilvl w:val="0"/>
          <w:numId w:val="0"/>
        </w:numPr>
        <w:rPr>
          <w:rFonts w:eastAsia="Arial"/>
          <w:sz w:val="28"/>
          <w:szCs w:val="22"/>
        </w:rPr>
      </w:pPr>
      <w:r w:rsidRPr="00391F55">
        <w:rPr>
          <w:rFonts w:eastAsia="Arial"/>
          <w:sz w:val="28"/>
          <w:szCs w:val="22"/>
        </w:rPr>
        <w:t>Profile of grantholders</w:t>
      </w:r>
    </w:p>
    <w:p w14:paraId="0BFF902C" w14:textId="77777777" w:rsidR="00DF6F83" w:rsidRPr="004A1789" w:rsidRDefault="00DF6F83" w:rsidP="00293FB1">
      <w:pPr>
        <w:numPr>
          <w:ilvl w:val="0"/>
          <w:numId w:val="14"/>
        </w:numPr>
        <w:pBdr>
          <w:top w:val="nil"/>
          <w:left w:val="nil"/>
          <w:bottom w:val="nil"/>
          <w:right w:val="nil"/>
          <w:between w:val="nil"/>
        </w:pBdr>
        <w:spacing w:before="120" w:after="120"/>
        <w:rPr>
          <w:sz w:val="22"/>
          <w:szCs w:val="22"/>
        </w:rPr>
      </w:pPr>
      <w:r w:rsidRPr="004A1789">
        <w:rPr>
          <w:b/>
          <w:bCs/>
          <w:sz w:val="22"/>
          <w:szCs w:val="22"/>
        </w:rPr>
        <w:t>95%</w:t>
      </w:r>
      <w:r w:rsidRPr="004A1789">
        <w:rPr>
          <w:sz w:val="22"/>
          <w:szCs w:val="22"/>
        </w:rPr>
        <w:t xml:space="preserve"> </w:t>
      </w:r>
      <w:r>
        <w:rPr>
          <w:b/>
          <w:bCs/>
          <w:sz w:val="22"/>
          <w:szCs w:val="22"/>
        </w:rPr>
        <w:t>o</w:t>
      </w:r>
      <w:r w:rsidRPr="004A1789">
        <w:rPr>
          <w:b/>
          <w:bCs/>
          <w:sz w:val="22"/>
          <w:szCs w:val="22"/>
        </w:rPr>
        <w:t xml:space="preserve">f </w:t>
      </w:r>
      <w:r>
        <w:rPr>
          <w:b/>
          <w:bCs/>
          <w:sz w:val="22"/>
          <w:szCs w:val="22"/>
        </w:rPr>
        <w:t>g</w:t>
      </w:r>
      <w:r w:rsidRPr="004A1789">
        <w:rPr>
          <w:b/>
          <w:bCs/>
          <w:sz w:val="22"/>
          <w:szCs w:val="22"/>
        </w:rPr>
        <w:t xml:space="preserve">rantholders </w:t>
      </w:r>
      <w:r>
        <w:rPr>
          <w:b/>
          <w:bCs/>
          <w:sz w:val="22"/>
          <w:szCs w:val="22"/>
        </w:rPr>
        <w:t>s</w:t>
      </w:r>
      <w:r w:rsidRPr="004A1789">
        <w:rPr>
          <w:b/>
          <w:bCs/>
          <w:sz w:val="22"/>
          <w:szCs w:val="22"/>
        </w:rPr>
        <w:t xml:space="preserve">upport </w:t>
      </w:r>
      <w:r>
        <w:rPr>
          <w:b/>
          <w:bCs/>
          <w:sz w:val="22"/>
          <w:szCs w:val="22"/>
        </w:rPr>
        <w:t>YP</w:t>
      </w:r>
      <w:r w:rsidRPr="004A1789">
        <w:rPr>
          <w:b/>
          <w:bCs/>
          <w:sz w:val="22"/>
          <w:szCs w:val="22"/>
        </w:rPr>
        <w:t xml:space="preserve"> from </w:t>
      </w:r>
      <w:r>
        <w:rPr>
          <w:b/>
          <w:bCs/>
          <w:sz w:val="22"/>
          <w:szCs w:val="22"/>
        </w:rPr>
        <w:t>d</w:t>
      </w:r>
      <w:r w:rsidRPr="004A1789">
        <w:rPr>
          <w:b/>
          <w:bCs/>
          <w:sz w:val="22"/>
          <w:szCs w:val="22"/>
        </w:rPr>
        <w:t xml:space="preserve">eprived / </w:t>
      </w:r>
      <w:r>
        <w:rPr>
          <w:b/>
          <w:bCs/>
          <w:sz w:val="22"/>
          <w:szCs w:val="22"/>
        </w:rPr>
        <w:t>l</w:t>
      </w:r>
      <w:r w:rsidRPr="004A1789">
        <w:rPr>
          <w:b/>
          <w:bCs/>
          <w:sz w:val="22"/>
          <w:szCs w:val="22"/>
        </w:rPr>
        <w:t>ow-</w:t>
      </w:r>
      <w:r>
        <w:rPr>
          <w:b/>
          <w:bCs/>
          <w:sz w:val="22"/>
          <w:szCs w:val="22"/>
        </w:rPr>
        <w:t>i</w:t>
      </w:r>
      <w:r w:rsidRPr="004A1789">
        <w:rPr>
          <w:b/>
          <w:bCs/>
          <w:sz w:val="22"/>
          <w:szCs w:val="22"/>
        </w:rPr>
        <w:t xml:space="preserve">ncome </w:t>
      </w:r>
      <w:r>
        <w:rPr>
          <w:b/>
          <w:bCs/>
          <w:sz w:val="22"/>
          <w:szCs w:val="22"/>
        </w:rPr>
        <w:t>a</w:t>
      </w:r>
      <w:r w:rsidRPr="004A1789">
        <w:rPr>
          <w:b/>
          <w:bCs/>
          <w:sz w:val="22"/>
          <w:szCs w:val="22"/>
        </w:rPr>
        <w:t>reas</w:t>
      </w:r>
      <w:r w:rsidRPr="004A1789">
        <w:rPr>
          <w:sz w:val="22"/>
          <w:szCs w:val="22"/>
        </w:rPr>
        <w:t xml:space="preserve"> </w:t>
      </w:r>
    </w:p>
    <w:p w14:paraId="664A9D1B" w14:textId="77777777" w:rsidR="00DF6F83" w:rsidRPr="004A1789" w:rsidRDefault="00DF6F83" w:rsidP="00DF6F83">
      <w:pPr>
        <w:pBdr>
          <w:top w:val="nil"/>
          <w:left w:val="nil"/>
          <w:bottom w:val="nil"/>
          <w:right w:val="nil"/>
          <w:between w:val="nil"/>
        </w:pBdr>
        <w:spacing w:before="120" w:after="120"/>
        <w:rPr>
          <w:sz w:val="22"/>
          <w:szCs w:val="22"/>
        </w:rPr>
      </w:pPr>
      <w:r w:rsidRPr="004A1789">
        <w:rPr>
          <w:sz w:val="22"/>
          <w:szCs w:val="22"/>
        </w:rPr>
        <w:t xml:space="preserve">This demonstrates the </w:t>
      </w:r>
      <w:r>
        <w:rPr>
          <w:sz w:val="22"/>
          <w:szCs w:val="22"/>
        </w:rPr>
        <w:t>MHF</w:t>
      </w:r>
      <w:r w:rsidRPr="004A1789">
        <w:rPr>
          <w:sz w:val="22"/>
          <w:szCs w:val="22"/>
        </w:rPr>
        <w:t>'s success in targeting provision to areas of greatest socio-economic need.</w:t>
      </w:r>
    </w:p>
    <w:p w14:paraId="577A0CB1" w14:textId="77777777" w:rsidR="00DF6F83" w:rsidRPr="004A1789" w:rsidRDefault="00DF6F83" w:rsidP="00293FB1">
      <w:pPr>
        <w:numPr>
          <w:ilvl w:val="0"/>
          <w:numId w:val="14"/>
        </w:numPr>
        <w:pBdr>
          <w:top w:val="nil"/>
          <w:left w:val="nil"/>
          <w:bottom w:val="nil"/>
          <w:right w:val="nil"/>
          <w:between w:val="nil"/>
        </w:pBdr>
        <w:spacing w:before="120" w:after="120"/>
        <w:rPr>
          <w:sz w:val="22"/>
          <w:szCs w:val="22"/>
        </w:rPr>
      </w:pPr>
      <w:r w:rsidRPr="004A1789">
        <w:rPr>
          <w:b/>
          <w:bCs/>
          <w:sz w:val="22"/>
          <w:szCs w:val="22"/>
        </w:rPr>
        <w:t>79%</w:t>
      </w:r>
      <w:r w:rsidRPr="004A1789">
        <w:rPr>
          <w:sz w:val="22"/>
          <w:szCs w:val="22"/>
        </w:rPr>
        <w:t xml:space="preserve"> </w:t>
      </w:r>
      <w:r>
        <w:rPr>
          <w:b/>
          <w:bCs/>
          <w:sz w:val="22"/>
          <w:szCs w:val="22"/>
        </w:rPr>
        <w:t>o</w:t>
      </w:r>
      <w:r w:rsidRPr="004A1789">
        <w:rPr>
          <w:b/>
          <w:bCs/>
          <w:sz w:val="22"/>
          <w:szCs w:val="22"/>
        </w:rPr>
        <w:t xml:space="preserve">f </w:t>
      </w:r>
      <w:r>
        <w:rPr>
          <w:b/>
          <w:bCs/>
          <w:sz w:val="22"/>
          <w:szCs w:val="22"/>
        </w:rPr>
        <w:t>g</w:t>
      </w:r>
      <w:r w:rsidRPr="004A1789">
        <w:rPr>
          <w:b/>
          <w:bCs/>
          <w:sz w:val="22"/>
          <w:szCs w:val="22"/>
        </w:rPr>
        <w:t xml:space="preserve">rantholders </w:t>
      </w:r>
      <w:r>
        <w:rPr>
          <w:b/>
          <w:bCs/>
          <w:sz w:val="22"/>
          <w:szCs w:val="22"/>
        </w:rPr>
        <w:t>s</w:t>
      </w:r>
      <w:r w:rsidRPr="004A1789">
        <w:rPr>
          <w:b/>
          <w:bCs/>
          <w:sz w:val="22"/>
          <w:szCs w:val="22"/>
        </w:rPr>
        <w:t xml:space="preserve">upport </w:t>
      </w:r>
      <w:r>
        <w:rPr>
          <w:b/>
          <w:bCs/>
          <w:sz w:val="22"/>
          <w:szCs w:val="22"/>
        </w:rPr>
        <w:t>YP</w:t>
      </w:r>
      <w:r w:rsidRPr="004A1789">
        <w:rPr>
          <w:b/>
          <w:bCs/>
          <w:sz w:val="22"/>
          <w:szCs w:val="22"/>
        </w:rPr>
        <w:t xml:space="preserve"> from </w:t>
      </w:r>
      <w:r>
        <w:rPr>
          <w:b/>
          <w:bCs/>
          <w:sz w:val="22"/>
          <w:szCs w:val="22"/>
        </w:rPr>
        <w:t>m</w:t>
      </w:r>
      <w:r w:rsidRPr="004A1789">
        <w:rPr>
          <w:b/>
          <w:bCs/>
          <w:sz w:val="22"/>
          <w:szCs w:val="22"/>
        </w:rPr>
        <w:t xml:space="preserve">inority </w:t>
      </w:r>
      <w:r>
        <w:rPr>
          <w:b/>
          <w:bCs/>
          <w:sz w:val="22"/>
          <w:szCs w:val="22"/>
        </w:rPr>
        <w:t>e</w:t>
      </w:r>
      <w:r w:rsidRPr="004A1789">
        <w:rPr>
          <w:b/>
          <w:bCs/>
          <w:sz w:val="22"/>
          <w:szCs w:val="22"/>
        </w:rPr>
        <w:t xml:space="preserve">thnic </w:t>
      </w:r>
      <w:r>
        <w:rPr>
          <w:b/>
          <w:bCs/>
          <w:sz w:val="22"/>
          <w:szCs w:val="22"/>
        </w:rPr>
        <w:t>b</w:t>
      </w:r>
      <w:r w:rsidRPr="004A1789">
        <w:rPr>
          <w:b/>
          <w:bCs/>
          <w:sz w:val="22"/>
          <w:szCs w:val="22"/>
        </w:rPr>
        <w:t>ackgrounds</w:t>
      </w:r>
      <w:r w:rsidRPr="004A1789">
        <w:rPr>
          <w:sz w:val="22"/>
          <w:szCs w:val="22"/>
        </w:rPr>
        <w:t xml:space="preserve"> </w:t>
      </w:r>
    </w:p>
    <w:p w14:paraId="0045D41F" w14:textId="77777777" w:rsidR="00DF6F83" w:rsidRPr="004A1789" w:rsidRDefault="00DF6F83" w:rsidP="00DF6F83">
      <w:pPr>
        <w:pBdr>
          <w:top w:val="nil"/>
          <w:left w:val="nil"/>
          <w:bottom w:val="nil"/>
          <w:right w:val="nil"/>
          <w:between w:val="nil"/>
        </w:pBdr>
        <w:spacing w:before="120" w:after="120"/>
        <w:rPr>
          <w:sz w:val="22"/>
          <w:szCs w:val="22"/>
        </w:rPr>
      </w:pPr>
      <w:r w:rsidRPr="004A1789">
        <w:rPr>
          <w:sz w:val="22"/>
          <w:szCs w:val="22"/>
        </w:rPr>
        <w:t xml:space="preserve">This indicates that the </w:t>
      </w:r>
      <w:r>
        <w:rPr>
          <w:sz w:val="22"/>
          <w:szCs w:val="22"/>
        </w:rPr>
        <w:t>MHF grantholders are targeting</w:t>
      </w:r>
      <w:r w:rsidRPr="004A1789">
        <w:rPr>
          <w:sz w:val="22"/>
          <w:szCs w:val="22"/>
        </w:rPr>
        <w:t xml:space="preserve"> a diverse cohort of </w:t>
      </w:r>
      <w:r>
        <w:rPr>
          <w:sz w:val="22"/>
          <w:szCs w:val="22"/>
        </w:rPr>
        <w:t>YP</w:t>
      </w:r>
      <w:r w:rsidRPr="004A1789">
        <w:rPr>
          <w:sz w:val="22"/>
          <w:szCs w:val="22"/>
        </w:rPr>
        <w:t>.</w:t>
      </w:r>
    </w:p>
    <w:p w14:paraId="11E7595E" w14:textId="77777777" w:rsidR="00DF6F83" w:rsidRPr="004A1789" w:rsidRDefault="00DF6F83" w:rsidP="00293FB1">
      <w:pPr>
        <w:numPr>
          <w:ilvl w:val="0"/>
          <w:numId w:val="14"/>
        </w:numPr>
        <w:pBdr>
          <w:top w:val="nil"/>
          <w:left w:val="nil"/>
          <w:bottom w:val="nil"/>
          <w:right w:val="nil"/>
          <w:between w:val="nil"/>
        </w:pBdr>
        <w:spacing w:before="120" w:after="120"/>
        <w:rPr>
          <w:sz w:val="22"/>
          <w:szCs w:val="22"/>
        </w:rPr>
      </w:pPr>
      <w:r w:rsidRPr="004A1789">
        <w:rPr>
          <w:b/>
          <w:bCs/>
          <w:sz w:val="22"/>
          <w:szCs w:val="22"/>
        </w:rPr>
        <w:t>90%</w:t>
      </w:r>
      <w:r w:rsidRPr="004A1789">
        <w:rPr>
          <w:sz w:val="22"/>
          <w:szCs w:val="22"/>
        </w:rPr>
        <w:t xml:space="preserve"> </w:t>
      </w:r>
      <w:r>
        <w:rPr>
          <w:b/>
          <w:bCs/>
          <w:sz w:val="22"/>
          <w:szCs w:val="22"/>
        </w:rPr>
        <w:t>o</w:t>
      </w:r>
      <w:r w:rsidRPr="004A1789">
        <w:rPr>
          <w:b/>
          <w:bCs/>
          <w:sz w:val="22"/>
          <w:szCs w:val="22"/>
        </w:rPr>
        <w:t xml:space="preserve">f </w:t>
      </w:r>
      <w:r>
        <w:rPr>
          <w:b/>
          <w:bCs/>
          <w:sz w:val="22"/>
          <w:szCs w:val="22"/>
        </w:rPr>
        <w:t>g</w:t>
      </w:r>
      <w:r w:rsidRPr="004A1789">
        <w:rPr>
          <w:b/>
          <w:bCs/>
          <w:sz w:val="22"/>
          <w:szCs w:val="22"/>
        </w:rPr>
        <w:t xml:space="preserve">rantholders </w:t>
      </w:r>
      <w:r>
        <w:rPr>
          <w:b/>
          <w:bCs/>
          <w:sz w:val="22"/>
          <w:szCs w:val="22"/>
        </w:rPr>
        <w:t>r</w:t>
      </w:r>
      <w:r w:rsidRPr="004A1789">
        <w:rPr>
          <w:b/>
          <w:bCs/>
          <w:sz w:val="22"/>
          <w:szCs w:val="22"/>
        </w:rPr>
        <w:t xml:space="preserve">eport </w:t>
      </w:r>
      <w:r>
        <w:rPr>
          <w:b/>
          <w:bCs/>
          <w:sz w:val="22"/>
          <w:szCs w:val="22"/>
        </w:rPr>
        <w:t>YP participating in their activities a</w:t>
      </w:r>
      <w:r w:rsidRPr="004A1789">
        <w:rPr>
          <w:b/>
          <w:bCs/>
          <w:sz w:val="22"/>
          <w:szCs w:val="22"/>
        </w:rPr>
        <w:t xml:space="preserve">re </w:t>
      </w:r>
      <w:r>
        <w:rPr>
          <w:b/>
          <w:bCs/>
          <w:sz w:val="22"/>
          <w:szCs w:val="22"/>
        </w:rPr>
        <w:t>a</w:t>
      </w:r>
      <w:r w:rsidRPr="004A1789">
        <w:rPr>
          <w:b/>
          <w:bCs/>
          <w:sz w:val="22"/>
          <w:szCs w:val="22"/>
        </w:rPr>
        <w:t xml:space="preserve">t </w:t>
      </w:r>
      <w:r>
        <w:rPr>
          <w:b/>
          <w:bCs/>
          <w:sz w:val="22"/>
          <w:szCs w:val="22"/>
        </w:rPr>
        <w:t>r</w:t>
      </w:r>
      <w:r w:rsidRPr="004A1789">
        <w:rPr>
          <w:b/>
          <w:bCs/>
          <w:sz w:val="22"/>
          <w:szCs w:val="22"/>
        </w:rPr>
        <w:t xml:space="preserve">isk of </w:t>
      </w:r>
      <w:r>
        <w:rPr>
          <w:b/>
          <w:bCs/>
          <w:sz w:val="22"/>
          <w:szCs w:val="22"/>
        </w:rPr>
        <w:t>i</w:t>
      </w:r>
      <w:r w:rsidRPr="004A1789">
        <w:rPr>
          <w:b/>
          <w:bCs/>
          <w:sz w:val="22"/>
          <w:szCs w:val="22"/>
        </w:rPr>
        <w:t xml:space="preserve">ntimidatory </w:t>
      </w:r>
      <w:r>
        <w:rPr>
          <w:b/>
          <w:bCs/>
          <w:sz w:val="22"/>
          <w:szCs w:val="22"/>
        </w:rPr>
        <w:t>b</w:t>
      </w:r>
      <w:r w:rsidRPr="004A1789">
        <w:rPr>
          <w:b/>
          <w:bCs/>
          <w:sz w:val="22"/>
          <w:szCs w:val="22"/>
        </w:rPr>
        <w:t>ehaviour</w:t>
      </w:r>
      <w:r w:rsidRPr="004A1789">
        <w:rPr>
          <w:sz w:val="22"/>
          <w:szCs w:val="22"/>
        </w:rPr>
        <w:t xml:space="preserve"> </w:t>
      </w:r>
    </w:p>
    <w:p w14:paraId="735C3626" w14:textId="77777777" w:rsidR="00DF6F83" w:rsidRPr="004A1789" w:rsidRDefault="00DF6F83" w:rsidP="00DF6F83">
      <w:pPr>
        <w:pBdr>
          <w:top w:val="nil"/>
          <w:left w:val="nil"/>
          <w:bottom w:val="nil"/>
          <w:right w:val="nil"/>
          <w:between w:val="nil"/>
        </w:pBdr>
        <w:spacing w:before="120" w:after="120"/>
        <w:rPr>
          <w:sz w:val="22"/>
          <w:szCs w:val="22"/>
        </w:rPr>
      </w:pPr>
      <w:r w:rsidRPr="004A1789">
        <w:rPr>
          <w:sz w:val="22"/>
          <w:szCs w:val="22"/>
        </w:rPr>
        <w:t xml:space="preserve">This statistic directly connects the participants to the core purpose of the </w:t>
      </w:r>
      <w:r>
        <w:rPr>
          <w:sz w:val="22"/>
          <w:szCs w:val="22"/>
        </w:rPr>
        <w:t>MHF</w:t>
      </w:r>
      <w:r w:rsidRPr="004A1789">
        <w:rPr>
          <w:sz w:val="22"/>
          <w:szCs w:val="22"/>
        </w:rPr>
        <w:t>, confirming that the provision</w:t>
      </w:r>
      <w:r>
        <w:rPr>
          <w:sz w:val="22"/>
          <w:szCs w:val="22"/>
        </w:rPr>
        <w:t xml:space="preserve"> of activities by grantholders</w:t>
      </w:r>
      <w:r w:rsidRPr="004A1789">
        <w:rPr>
          <w:sz w:val="22"/>
          <w:szCs w:val="22"/>
        </w:rPr>
        <w:t xml:space="preserve"> is </w:t>
      </w:r>
      <w:r>
        <w:rPr>
          <w:sz w:val="22"/>
          <w:szCs w:val="22"/>
        </w:rPr>
        <w:t>targeting</w:t>
      </w:r>
      <w:r w:rsidRPr="004A1789">
        <w:rPr>
          <w:sz w:val="22"/>
          <w:szCs w:val="22"/>
        </w:rPr>
        <w:t xml:space="preserve"> </w:t>
      </w:r>
      <w:r>
        <w:rPr>
          <w:sz w:val="22"/>
          <w:szCs w:val="22"/>
        </w:rPr>
        <w:t>YP</w:t>
      </w:r>
      <w:r w:rsidRPr="004A1789">
        <w:rPr>
          <w:sz w:val="22"/>
          <w:szCs w:val="22"/>
        </w:rPr>
        <w:t xml:space="preserve"> considered at high risk of ASB involvement.</w:t>
      </w:r>
    </w:p>
    <w:p w14:paraId="3396578F" w14:textId="77777777" w:rsidR="00DF6F83" w:rsidRPr="004A1789" w:rsidRDefault="00DF6F83" w:rsidP="00293FB1">
      <w:pPr>
        <w:numPr>
          <w:ilvl w:val="0"/>
          <w:numId w:val="14"/>
        </w:numPr>
        <w:pBdr>
          <w:top w:val="nil"/>
          <w:left w:val="nil"/>
          <w:bottom w:val="nil"/>
          <w:right w:val="nil"/>
          <w:between w:val="nil"/>
        </w:pBdr>
        <w:spacing w:before="120" w:after="120"/>
        <w:rPr>
          <w:sz w:val="22"/>
          <w:szCs w:val="22"/>
        </w:rPr>
      </w:pPr>
      <w:r w:rsidRPr="004A1789">
        <w:rPr>
          <w:b/>
          <w:bCs/>
          <w:sz w:val="22"/>
          <w:szCs w:val="22"/>
        </w:rPr>
        <w:t>64%</w:t>
      </w:r>
      <w:r w:rsidRPr="004A1789">
        <w:rPr>
          <w:sz w:val="22"/>
          <w:szCs w:val="22"/>
        </w:rPr>
        <w:t xml:space="preserve"> </w:t>
      </w:r>
      <w:r>
        <w:rPr>
          <w:b/>
          <w:bCs/>
          <w:sz w:val="22"/>
          <w:szCs w:val="22"/>
        </w:rPr>
        <w:t>o</w:t>
      </w:r>
      <w:r w:rsidRPr="004A1789">
        <w:rPr>
          <w:b/>
          <w:bCs/>
          <w:sz w:val="22"/>
          <w:szCs w:val="22"/>
        </w:rPr>
        <w:t xml:space="preserve">f </w:t>
      </w:r>
      <w:r>
        <w:rPr>
          <w:b/>
          <w:bCs/>
          <w:sz w:val="22"/>
          <w:szCs w:val="22"/>
        </w:rPr>
        <w:t>g</w:t>
      </w:r>
      <w:r w:rsidRPr="004A1789">
        <w:rPr>
          <w:b/>
          <w:bCs/>
          <w:sz w:val="22"/>
          <w:szCs w:val="22"/>
        </w:rPr>
        <w:t xml:space="preserve">rantholders </w:t>
      </w:r>
      <w:r>
        <w:rPr>
          <w:b/>
          <w:bCs/>
          <w:sz w:val="22"/>
          <w:szCs w:val="22"/>
        </w:rPr>
        <w:t>r</w:t>
      </w:r>
      <w:r w:rsidRPr="004A1789">
        <w:rPr>
          <w:b/>
          <w:bCs/>
          <w:sz w:val="22"/>
          <w:szCs w:val="22"/>
        </w:rPr>
        <w:t xml:space="preserve">eport </w:t>
      </w:r>
      <w:r>
        <w:rPr>
          <w:b/>
          <w:bCs/>
          <w:sz w:val="22"/>
          <w:szCs w:val="22"/>
        </w:rPr>
        <w:t>YP participating in their activities</w:t>
      </w:r>
      <w:r w:rsidRPr="004A1789">
        <w:rPr>
          <w:b/>
          <w:bCs/>
          <w:sz w:val="22"/>
          <w:szCs w:val="22"/>
        </w:rPr>
        <w:t xml:space="preserve"> </w:t>
      </w:r>
      <w:r>
        <w:rPr>
          <w:b/>
          <w:bCs/>
          <w:sz w:val="22"/>
          <w:szCs w:val="22"/>
        </w:rPr>
        <w:t>a</w:t>
      </w:r>
      <w:r w:rsidRPr="004A1789">
        <w:rPr>
          <w:b/>
          <w:bCs/>
          <w:sz w:val="22"/>
          <w:szCs w:val="22"/>
        </w:rPr>
        <w:t xml:space="preserve">re </w:t>
      </w:r>
      <w:r>
        <w:rPr>
          <w:b/>
          <w:bCs/>
          <w:sz w:val="22"/>
          <w:szCs w:val="22"/>
        </w:rPr>
        <w:t>a</w:t>
      </w:r>
      <w:r w:rsidRPr="004A1789">
        <w:rPr>
          <w:b/>
          <w:bCs/>
          <w:sz w:val="22"/>
          <w:szCs w:val="22"/>
        </w:rPr>
        <w:t xml:space="preserve">t </w:t>
      </w:r>
      <w:r>
        <w:rPr>
          <w:b/>
          <w:bCs/>
          <w:sz w:val="22"/>
          <w:szCs w:val="22"/>
        </w:rPr>
        <w:t>r</w:t>
      </w:r>
      <w:r w:rsidRPr="004A1789">
        <w:rPr>
          <w:b/>
          <w:bCs/>
          <w:sz w:val="22"/>
          <w:szCs w:val="22"/>
        </w:rPr>
        <w:t xml:space="preserve">isk of </w:t>
      </w:r>
      <w:r>
        <w:rPr>
          <w:b/>
          <w:bCs/>
          <w:sz w:val="22"/>
          <w:szCs w:val="22"/>
        </w:rPr>
        <w:t>g</w:t>
      </w:r>
      <w:r w:rsidRPr="004A1789">
        <w:rPr>
          <w:b/>
          <w:bCs/>
          <w:sz w:val="22"/>
          <w:szCs w:val="22"/>
        </w:rPr>
        <w:t>ang-</w:t>
      </w:r>
      <w:r>
        <w:rPr>
          <w:b/>
          <w:bCs/>
          <w:sz w:val="22"/>
          <w:szCs w:val="22"/>
        </w:rPr>
        <w:t>r</w:t>
      </w:r>
      <w:r w:rsidRPr="004A1789">
        <w:rPr>
          <w:b/>
          <w:bCs/>
          <w:sz w:val="22"/>
          <w:szCs w:val="22"/>
        </w:rPr>
        <w:t xml:space="preserve">elated </w:t>
      </w:r>
      <w:r>
        <w:rPr>
          <w:b/>
          <w:bCs/>
          <w:sz w:val="22"/>
          <w:szCs w:val="22"/>
        </w:rPr>
        <w:t>a</w:t>
      </w:r>
      <w:r w:rsidRPr="004A1789">
        <w:rPr>
          <w:b/>
          <w:bCs/>
          <w:sz w:val="22"/>
          <w:szCs w:val="22"/>
        </w:rPr>
        <w:t>ctivity</w:t>
      </w:r>
      <w:r w:rsidRPr="004A1789">
        <w:rPr>
          <w:sz w:val="22"/>
          <w:szCs w:val="22"/>
        </w:rPr>
        <w:t xml:space="preserve"> </w:t>
      </w:r>
    </w:p>
    <w:p w14:paraId="29A9C977" w14:textId="77777777" w:rsidR="00DF6F83" w:rsidRPr="004A1789" w:rsidRDefault="00DF6F83" w:rsidP="00DF6F83">
      <w:pPr>
        <w:pBdr>
          <w:top w:val="nil"/>
          <w:left w:val="nil"/>
          <w:bottom w:val="nil"/>
          <w:right w:val="nil"/>
          <w:between w:val="nil"/>
        </w:pBdr>
        <w:spacing w:before="120" w:after="120"/>
        <w:rPr>
          <w:sz w:val="22"/>
          <w:szCs w:val="22"/>
        </w:rPr>
      </w:pPr>
      <w:r w:rsidRPr="004A1789">
        <w:rPr>
          <w:sz w:val="22"/>
          <w:szCs w:val="22"/>
        </w:rPr>
        <w:t xml:space="preserve">This further reinforces that the </w:t>
      </w:r>
      <w:r>
        <w:rPr>
          <w:sz w:val="22"/>
          <w:szCs w:val="22"/>
        </w:rPr>
        <w:t>MHF grantholders</w:t>
      </w:r>
      <w:r w:rsidRPr="004A1789">
        <w:rPr>
          <w:sz w:val="22"/>
          <w:szCs w:val="22"/>
        </w:rPr>
        <w:t xml:space="preserve"> </w:t>
      </w:r>
      <w:r>
        <w:rPr>
          <w:sz w:val="22"/>
          <w:szCs w:val="22"/>
        </w:rPr>
        <w:t>are</w:t>
      </w:r>
      <w:r w:rsidRPr="004A1789">
        <w:rPr>
          <w:sz w:val="22"/>
          <w:szCs w:val="22"/>
        </w:rPr>
        <w:t xml:space="preserve"> </w:t>
      </w:r>
      <w:r>
        <w:rPr>
          <w:sz w:val="22"/>
          <w:szCs w:val="22"/>
        </w:rPr>
        <w:t>targeting</w:t>
      </w:r>
      <w:r w:rsidRPr="004A1789">
        <w:rPr>
          <w:sz w:val="22"/>
          <w:szCs w:val="22"/>
        </w:rPr>
        <w:t xml:space="preserve"> </w:t>
      </w:r>
      <w:r>
        <w:rPr>
          <w:sz w:val="22"/>
          <w:szCs w:val="22"/>
        </w:rPr>
        <w:t>YP</w:t>
      </w:r>
      <w:r w:rsidRPr="004A1789">
        <w:rPr>
          <w:sz w:val="22"/>
          <w:szCs w:val="22"/>
        </w:rPr>
        <w:t xml:space="preserve"> facing serious risks within their communities, making the provision a key preventative service.</w:t>
      </w:r>
    </w:p>
    <w:p w14:paraId="71A29CC4" w14:textId="77777777" w:rsidR="00DF6F83" w:rsidRPr="00391F55" w:rsidRDefault="00DF6F83" w:rsidP="00391F55">
      <w:pPr>
        <w:pStyle w:val="Heading2"/>
        <w:numPr>
          <w:ilvl w:val="0"/>
          <w:numId w:val="0"/>
        </w:numPr>
        <w:rPr>
          <w:rFonts w:eastAsia="Arial"/>
          <w:sz w:val="28"/>
          <w:szCs w:val="22"/>
        </w:rPr>
      </w:pPr>
      <w:r w:rsidRPr="00391F55">
        <w:rPr>
          <w:rFonts w:eastAsia="Arial"/>
          <w:sz w:val="28"/>
          <w:szCs w:val="22"/>
        </w:rPr>
        <w:t>Engagement patterns</w:t>
      </w:r>
    </w:p>
    <w:p w14:paraId="0664F06F" w14:textId="77777777" w:rsidR="00DF6F83" w:rsidRPr="004A1789" w:rsidRDefault="00DF6F83" w:rsidP="00293FB1">
      <w:pPr>
        <w:numPr>
          <w:ilvl w:val="0"/>
          <w:numId w:val="15"/>
        </w:numPr>
        <w:pBdr>
          <w:top w:val="nil"/>
          <w:left w:val="nil"/>
          <w:bottom w:val="nil"/>
          <w:right w:val="nil"/>
          <w:between w:val="nil"/>
        </w:pBdr>
        <w:spacing w:before="120" w:after="120"/>
        <w:rPr>
          <w:sz w:val="22"/>
          <w:szCs w:val="22"/>
        </w:rPr>
      </w:pPr>
      <w:r w:rsidRPr="004A1789">
        <w:rPr>
          <w:b/>
          <w:bCs/>
          <w:sz w:val="22"/>
          <w:szCs w:val="22"/>
        </w:rPr>
        <w:t>77%</w:t>
      </w:r>
      <w:r w:rsidRPr="004A1789">
        <w:rPr>
          <w:sz w:val="22"/>
          <w:szCs w:val="22"/>
        </w:rPr>
        <w:t xml:space="preserve"> </w:t>
      </w:r>
      <w:r>
        <w:rPr>
          <w:b/>
          <w:bCs/>
          <w:sz w:val="22"/>
          <w:szCs w:val="22"/>
        </w:rPr>
        <w:t>o</w:t>
      </w:r>
      <w:r w:rsidRPr="004A1789">
        <w:rPr>
          <w:b/>
          <w:bCs/>
          <w:sz w:val="22"/>
          <w:szCs w:val="22"/>
        </w:rPr>
        <w:t xml:space="preserve">f </w:t>
      </w:r>
      <w:r>
        <w:rPr>
          <w:b/>
          <w:bCs/>
          <w:sz w:val="22"/>
          <w:szCs w:val="22"/>
        </w:rPr>
        <w:t>YP</w:t>
      </w:r>
      <w:r w:rsidRPr="004A1789">
        <w:rPr>
          <w:b/>
          <w:bCs/>
          <w:sz w:val="22"/>
          <w:szCs w:val="22"/>
        </w:rPr>
        <w:t xml:space="preserve"> </w:t>
      </w:r>
      <w:r>
        <w:rPr>
          <w:b/>
          <w:bCs/>
          <w:sz w:val="22"/>
          <w:szCs w:val="22"/>
        </w:rPr>
        <w:t>a</w:t>
      </w:r>
      <w:r w:rsidRPr="004A1789">
        <w:rPr>
          <w:b/>
          <w:bCs/>
          <w:sz w:val="22"/>
          <w:szCs w:val="22"/>
        </w:rPr>
        <w:t xml:space="preserve">ttend </w:t>
      </w:r>
      <w:r>
        <w:rPr>
          <w:b/>
          <w:bCs/>
          <w:sz w:val="22"/>
          <w:szCs w:val="22"/>
        </w:rPr>
        <w:t>a</w:t>
      </w:r>
      <w:r w:rsidRPr="004A1789">
        <w:rPr>
          <w:b/>
          <w:bCs/>
          <w:sz w:val="22"/>
          <w:szCs w:val="22"/>
        </w:rPr>
        <w:t xml:space="preserve">ctivities </w:t>
      </w:r>
      <w:r>
        <w:rPr>
          <w:b/>
          <w:bCs/>
          <w:sz w:val="22"/>
          <w:szCs w:val="22"/>
        </w:rPr>
        <w:t>o</w:t>
      </w:r>
      <w:r w:rsidRPr="004A1789">
        <w:rPr>
          <w:b/>
          <w:bCs/>
          <w:sz w:val="22"/>
          <w:szCs w:val="22"/>
        </w:rPr>
        <w:t xml:space="preserve">nce or </w:t>
      </w:r>
      <w:r>
        <w:rPr>
          <w:b/>
          <w:bCs/>
          <w:sz w:val="22"/>
          <w:szCs w:val="22"/>
        </w:rPr>
        <w:t>t</w:t>
      </w:r>
      <w:r w:rsidRPr="004A1789">
        <w:rPr>
          <w:b/>
          <w:bCs/>
          <w:sz w:val="22"/>
          <w:szCs w:val="22"/>
        </w:rPr>
        <w:t xml:space="preserve">wice a </w:t>
      </w:r>
      <w:r>
        <w:rPr>
          <w:b/>
          <w:bCs/>
          <w:sz w:val="22"/>
          <w:szCs w:val="22"/>
        </w:rPr>
        <w:t>w</w:t>
      </w:r>
      <w:r w:rsidRPr="004A1789">
        <w:rPr>
          <w:b/>
          <w:bCs/>
          <w:sz w:val="22"/>
          <w:szCs w:val="22"/>
        </w:rPr>
        <w:t>eek</w:t>
      </w:r>
      <w:r w:rsidRPr="004A1789">
        <w:rPr>
          <w:sz w:val="22"/>
          <w:szCs w:val="22"/>
        </w:rPr>
        <w:t xml:space="preserve"> </w:t>
      </w:r>
    </w:p>
    <w:p w14:paraId="69689515" w14:textId="35B66D22" w:rsidR="00DF6F83" w:rsidRPr="004A1789" w:rsidRDefault="00DF6F83" w:rsidP="00DF6F83">
      <w:pPr>
        <w:pBdr>
          <w:top w:val="nil"/>
          <w:left w:val="nil"/>
          <w:bottom w:val="nil"/>
          <w:right w:val="nil"/>
          <w:between w:val="nil"/>
        </w:pBdr>
        <w:spacing w:before="120" w:after="120"/>
        <w:rPr>
          <w:sz w:val="22"/>
          <w:szCs w:val="22"/>
        </w:rPr>
      </w:pPr>
      <w:r w:rsidRPr="004A1789">
        <w:rPr>
          <w:sz w:val="22"/>
          <w:szCs w:val="22"/>
        </w:rPr>
        <w:t xml:space="preserve">This illustrates the typical pattern of engagement, showing that the </w:t>
      </w:r>
      <w:r w:rsidR="00AC27CD">
        <w:rPr>
          <w:sz w:val="22"/>
          <w:szCs w:val="22"/>
        </w:rPr>
        <w:t>MHF</w:t>
      </w:r>
      <w:r w:rsidRPr="004A1789">
        <w:rPr>
          <w:sz w:val="22"/>
          <w:szCs w:val="22"/>
        </w:rPr>
        <w:t xml:space="preserve"> supports regular, consistent contact with </w:t>
      </w:r>
      <w:r>
        <w:rPr>
          <w:sz w:val="22"/>
          <w:szCs w:val="22"/>
        </w:rPr>
        <w:t>YP</w:t>
      </w:r>
      <w:r w:rsidRPr="004A1789">
        <w:rPr>
          <w:sz w:val="22"/>
          <w:szCs w:val="22"/>
        </w:rPr>
        <w:t xml:space="preserve"> rather than sporadic attendance.</w:t>
      </w:r>
    </w:p>
    <w:p w14:paraId="6C2C40C2" w14:textId="77777777" w:rsidR="00DF6F83" w:rsidRPr="004A1789" w:rsidRDefault="00DF6F83" w:rsidP="00293FB1">
      <w:pPr>
        <w:numPr>
          <w:ilvl w:val="0"/>
          <w:numId w:val="15"/>
        </w:numPr>
        <w:pBdr>
          <w:top w:val="nil"/>
          <w:left w:val="nil"/>
          <w:bottom w:val="nil"/>
          <w:right w:val="nil"/>
          <w:between w:val="nil"/>
        </w:pBdr>
        <w:spacing w:before="120" w:after="120"/>
        <w:rPr>
          <w:sz w:val="22"/>
          <w:szCs w:val="22"/>
        </w:rPr>
      </w:pPr>
      <w:r w:rsidRPr="004A1789">
        <w:rPr>
          <w:b/>
          <w:bCs/>
          <w:sz w:val="22"/>
          <w:szCs w:val="22"/>
        </w:rPr>
        <w:lastRenderedPageBreak/>
        <w:t>73%</w:t>
      </w:r>
      <w:r w:rsidRPr="004A1789">
        <w:rPr>
          <w:sz w:val="22"/>
          <w:szCs w:val="22"/>
        </w:rPr>
        <w:t xml:space="preserve"> </w:t>
      </w:r>
      <w:r>
        <w:rPr>
          <w:b/>
          <w:bCs/>
          <w:sz w:val="22"/>
          <w:szCs w:val="22"/>
        </w:rPr>
        <w:t>o</w:t>
      </w:r>
      <w:r w:rsidRPr="004A1789">
        <w:rPr>
          <w:b/>
          <w:bCs/>
          <w:sz w:val="22"/>
          <w:szCs w:val="22"/>
        </w:rPr>
        <w:t xml:space="preserve">f </w:t>
      </w:r>
      <w:r>
        <w:rPr>
          <w:b/>
          <w:bCs/>
          <w:sz w:val="22"/>
          <w:szCs w:val="22"/>
        </w:rPr>
        <w:t>YP</w:t>
      </w:r>
      <w:r w:rsidRPr="004A1789">
        <w:rPr>
          <w:b/>
          <w:bCs/>
          <w:sz w:val="22"/>
          <w:szCs w:val="22"/>
        </w:rPr>
        <w:t xml:space="preserve"> </w:t>
      </w:r>
      <w:r>
        <w:rPr>
          <w:b/>
          <w:bCs/>
          <w:sz w:val="22"/>
          <w:szCs w:val="22"/>
        </w:rPr>
        <w:t>a</w:t>
      </w:r>
      <w:r w:rsidRPr="004A1789">
        <w:rPr>
          <w:b/>
          <w:bCs/>
          <w:sz w:val="22"/>
          <w:szCs w:val="22"/>
        </w:rPr>
        <w:t xml:space="preserve">ttend for 1-4 </w:t>
      </w:r>
      <w:r>
        <w:rPr>
          <w:b/>
          <w:bCs/>
          <w:sz w:val="22"/>
          <w:szCs w:val="22"/>
        </w:rPr>
        <w:t>h</w:t>
      </w:r>
      <w:r w:rsidRPr="004A1789">
        <w:rPr>
          <w:b/>
          <w:bCs/>
          <w:sz w:val="22"/>
          <w:szCs w:val="22"/>
        </w:rPr>
        <w:t xml:space="preserve">ours </w:t>
      </w:r>
      <w:r>
        <w:rPr>
          <w:b/>
          <w:bCs/>
          <w:sz w:val="22"/>
          <w:szCs w:val="22"/>
        </w:rPr>
        <w:t>p</w:t>
      </w:r>
      <w:r w:rsidRPr="004A1789">
        <w:rPr>
          <w:b/>
          <w:bCs/>
          <w:sz w:val="22"/>
          <w:szCs w:val="22"/>
        </w:rPr>
        <w:t xml:space="preserve">er </w:t>
      </w:r>
      <w:r>
        <w:rPr>
          <w:b/>
          <w:bCs/>
          <w:sz w:val="22"/>
          <w:szCs w:val="22"/>
        </w:rPr>
        <w:t>w</w:t>
      </w:r>
      <w:r w:rsidRPr="004A1789">
        <w:rPr>
          <w:b/>
          <w:bCs/>
          <w:sz w:val="22"/>
          <w:szCs w:val="22"/>
        </w:rPr>
        <w:t>eek</w:t>
      </w:r>
      <w:r w:rsidRPr="004A1789">
        <w:rPr>
          <w:sz w:val="22"/>
          <w:szCs w:val="22"/>
        </w:rPr>
        <w:t xml:space="preserve"> </w:t>
      </w:r>
    </w:p>
    <w:p w14:paraId="78BD5586" w14:textId="77777777" w:rsidR="00DF6F83" w:rsidRPr="004A1789" w:rsidRDefault="00DF6F83" w:rsidP="00DF6F83">
      <w:pPr>
        <w:pBdr>
          <w:top w:val="nil"/>
          <w:left w:val="nil"/>
          <w:bottom w:val="nil"/>
          <w:right w:val="nil"/>
          <w:between w:val="nil"/>
        </w:pBdr>
        <w:spacing w:before="120" w:after="120"/>
        <w:rPr>
          <w:sz w:val="22"/>
          <w:szCs w:val="22"/>
        </w:rPr>
      </w:pPr>
      <w:r w:rsidRPr="004A1789">
        <w:rPr>
          <w:sz w:val="22"/>
          <w:szCs w:val="22"/>
        </w:rPr>
        <w:t>Combined with attendance frequency, this shows a typical 'dose' of the intervention is a few hours each week, providing valuable context for the impact findings.</w:t>
      </w:r>
    </w:p>
    <w:p w14:paraId="1286EA0C" w14:textId="77777777" w:rsidR="00DF6F83" w:rsidRPr="004A1789" w:rsidRDefault="00DF6F83" w:rsidP="00293FB1">
      <w:pPr>
        <w:numPr>
          <w:ilvl w:val="0"/>
          <w:numId w:val="15"/>
        </w:numPr>
        <w:pBdr>
          <w:top w:val="nil"/>
          <w:left w:val="nil"/>
          <w:bottom w:val="nil"/>
          <w:right w:val="nil"/>
          <w:between w:val="nil"/>
        </w:pBdr>
        <w:spacing w:before="120" w:after="120"/>
        <w:rPr>
          <w:sz w:val="22"/>
          <w:szCs w:val="22"/>
        </w:rPr>
      </w:pPr>
      <w:r>
        <w:rPr>
          <w:b/>
          <w:bCs/>
          <w:sz w:val="22"/>
          <w:szCs w:val="22"/>
        </w:rPr>
        <w:t>68</w:t>
      </w:r>
      <w:r w:rsidRPr="00337137">
        <w:rPr>
          <w:b/>
          <w:bCs/>
          <w:sz w:val="22"/>
          <w:szCs w:val="22"/>
        </w:rPr>
        <w:t>%</w:t>
      </w:r>
      <w:r w:rsidRPr="00AB3EB4">
        <w:rPr>
          <w:b/>
          <w:bCs/>
          <w:sz w:val="22"/>
          <w:szCs w:val="22"/>
        </w:rPr>
        <w:t xml:space="preserve"> of </w:t>
      </w:r>
      <w:r>
        <w:rPr>
          <w:b/>
          <w:bCs/>
          <w:sz w:val="22"/>
          <w:szCs w:val="22"/>
        </w:rPr>
        <w:t>YP</w:t>
      </w:r>
      <w:r w:rsidRPr="00AB3EB4">
        <w:rPr>
          <w:b/>
          <w:bCs/>
          <w:sz w:val="22"/>
          <w:szCs w:val="22"/>
        </w:rPr>
        <w:t xml:space="preserve"> have been attending for </w:t>
      </w:r>
      <w:r>
        <w:rPr>
          <w:b/>
          <w:bCs/>
          <w:sz w:val="22"/>
          <w:szCs w:val="22"/>
        </w:rPr>
        <w:t>no more than</w:t>
      </w:r>
      <w:r w:rsidRPr="00AB3EB4">
        <w:rPr>
          <w:b/>
          <w:bCs/>
          <w:sz w:val="22"/>
          <w:szCs w:val="22"/>
        </w:rPr>
        <w:t xml:space="preserve"> 12 months</w:t>
      </w:r>
      <w:r w:rsidRPr="004A1789">
        <w:rPr>
          <w:sz w:val="22"/>
          <w:szCs w:val="22"/>
        </w:rPr>
        <w:t xml:space="preserve"> </w:t>
      </w:r>
    </w:p>
    <w:p w14:paraId="5CCD8548" w14:textId="77777777" w:rsidR="00DF6F83" w:rsidRPr="004A1789" w:rsidRDefault="00DF6F83" w:rsidP="00DF6F83">
      <w:pPr>
        <w:pBdr>
          <w:top w:val="nil"/>
          <w:left w:val="nil"/>
          <w:bottom w:val="nil"/>
          <w:right w:val="nil"/>
          <w:between w:val="nil"/>
        </w:pBdr>
        <w:spacing w:before="120" w:after="120"/>
        <w:rPr>
          <w:sz w:val="22"/>
          <w:szCs w:val="22"/>
        </w:rPr>
      </w:pPr>
      <w:r w:rsidRPr="004A1789">
        <w:rPr>
          <w:sz w:val="22"/>
          <w:szCs w:val="22"/>
        </w:rPr>
        <w:t xml:space="preserve">This demonstrates </w:t>
      </w:r>
      <w:r>
        <w:rPr>
          <w:sz w:val="22"/>
          <w:szCs w:val="22"/>
        </w:rPr>
        <w:t>that there is potential to increase retention of YP for 12 months or more. Longer retention appears to be important because attendance over longer periods of time is correlated with positive wellbeing and confidence</w:t>
      </w:r>
      <w:r w:rsidRPr="004A1789">
        <w:rPr>
          <w:sz w:val="22"/>
          <w:szCs w:val="22"/>
        </w:rPr>
        <w:t>.</w:t>
      </w:r>
    </w:p>
    <w:p w14:paraId="537EFA77" w14:textId="77777777" w:rsidR="00DF6F83" w:rsidRPr="004A1789" w:rsidRDefault="00DF6F83" w:rsidP="00293FB1">
      <w:pPr>
        <w:numPr>
          <w:ilvl w:val="0"/>
          <w:numId w:val="15"/>
        </w:numPr>
        <w:pBdr>
          <w:top w:val="nil"/>
          <w:left w:val="nil"/>
          <w:bottom w:val="nil"/>
          <w:right w:val="nil"/>
          <w:between w:val="nil"/>
        </w:pBdr>
        <w:spacing w:before="120" w:after="120"/>
        <w:rPr>
          <w:sz w:val="22"/>
          <w:szCs w:val="22"/>
        </w:rPr>
      </w:pPr>
      <w:r w:rsidRPr="004A1789">
        <w:rPr>
          <w:b/>
          <w:bCs/>
          <w:sz w:val="22"/>
          <w:szCs w:val="22"/>
        </w:rPr>
        <w:t>62%</w:t>
      </w:r>
      <w:r w:rsidRPr="004A1789">
        <w:rPr>
          <w:sz w:val="22"/>
          <w:szCs w:val="22"/>
        </w:rPr>
        <w:t xml:space="preserve"> </w:t>
      </w:r>
      <w:r w:rsidRPr="00AB3EB4">
        <w:rPr>
          <w:b/>
          <w:bCs/>
          <w:sz w:val="22"/>
          <w:szCs w:val="22"/>
        </w:rPr>
        <w:t xml:space="preserve">of activities attended by </w:t>
      </w:r>
      <w:r>
        <w:rPr>
          <w:b/>
          <w:bCs/>
          <w:sz w:val="22"/>
          <w:szCs w:val="22"/>
        </w:rPr>
        <w:t>YP</w:t>
      </w:r>
      <w:r w:rsidRPr="00AB3EB4">
        <w:rPr>
          <w:b/>
          <w:bCs/>
          <w:sz w:val="22"/>
          <w:szCs w:val="22"/>
        </w:rPr>
        <w:t xml:space="preserve"> were spo</w:t>
      </w:r>
      <w:r>
        <w:rPr>
          <w:b/>
          <w:bCs/>
          <w:sz w:val="22"/>
          <w:szCs w:val="22"/>
        </w:rPr>
        <w:t>r</w:t>
      </w:r>
      <w:r w:rsidRPr="00AB3EB4">
        <w:rPr>
          <w:b/>
          <w:bCs/>
          <w:sz w:val="22"/>
          <w:szCs w:val="22"/>
        </w:rPr>
        <w:t>ts-related</w:t>
      </w:r>
      <w:r w:rsidRPr="004A1789">
        <w:rPr>
          <w:sz w:val="22"/>
          <w:szCs w:val="22"/>
        </w:rPr>
        <w:t xml:space="preserve"> </w:t>
      </w:r>
    </w:p>
    <w:p w14:paraId="495B82DE" w14:textId="77777777" w:rsidR="00DF6F83" w:rsidRPr="004A1789" w:rsidRDefault="00DF6F83" w:rsidP="00DF6F83">
      <w:pPr>
        <w:pBdr>
          <w:top w:val="nil"/>
          <w:left w:val="nil"/>
          <w:bottom w:val="nil"/>
          <w:right w:val="nil"/>
          <w:between w:val="nil"/>
        </w:pBdr>
        <w:spacing w:before="120" w:after="120"/>
        <w:rPr>
          <w:sz w:val="22"/>
          <w:szCs w:val="22"/>
        </w:rPr>
      </w:pPr>
      <w:r w:rsidRPr="004A1789">
        <w:rPr>
          <w:sz w:val="22"/>
          <w:szCs w:val="22"/>
        </w:rPr>
        <w:t xml:space="preserve">Sports and physical activities were the most popular type of provision, acting as a crucial entry point for engaging </w:t>
      </w:r>
      <w:r>
        <w:rPr>
          <w:sz w:val="22"/>
          <w:szCs w:val="22"/>
        </w:rPr>
        <w:t>YP</w:t>
      </w:r>
      <w:r w:rsidRPr="004A1789">
        <w:rPr>
          <w:sz w:val="22"/>
          <w:szCs w:val="22"/>
        </w:rPr>
        <w:t>.</w:t>
      </w:r>
    </w:p>
    <w:p w14:paraId="56B85E1B" w14:textId="77777777" w:rsidR="00DF6F83" w:rsidRPr="00391F55" w:rsidRDefault="00DF6F83" w:rsidP="00391F55">
      <w:pPr>
        <w:pStyle w:val="Heading2"/>
        <w:numPr>
          <w:ilvl w:val="0"/>
          <w:numId w:val="0"/>
        </w:numPr>
        <w:rPr>
          <w:rFonts w:eastAsia="Arial"/>
          <w:sz w:val="28"/>
          <w:szCs w:val="22"/>
        </w:rPr>
      </w:pPr>
      <w:r w:rsidRPr="00391F55">
        <w:rPr>
          <w:rFonts w:eastAsia="Arial"/>
          <w:sz w:val="28"/>
          <w:szCs w:val="22"/>
        </w:rPr>
        <w:t>Outcomes and Impacts</w:t>
      </w:r>
    </w:p>
    <w:p w14:paraId="79FF1B61" w14:textId="77777777" w:rsidR="00DF6F83" w:rsidRPr="004A1789" w:rsidRDefault="00DF6F83" w:rsidP="00293FB1">
      <w:pPr>
        <w:numPr>
          <w:ilvl w:val="0"/>
          <w:numId w:val="16"/>
        </w:numPr>
        <w:pBdr>
          <w:top w:val="nil"/>
          <w:left w:val="nil"/>
          <w:bottom w:val="nil"/>
          <w:right w:val="nil"/>
          <w:between w:val="nil"/>
        </w:pBdr>
        <w:spacing w:before="120" w:after="120"/>
        <w:rPr>
          <w:sz w:val="22"/>
          <w:szCs w:val="22"/>
        </w:rPr>
      </w:pPr>
      <w:r w:rsidRPr="004A1789">
        <w:rPr>
          <w:b/>
          <w:bCs/>
          <w:sz w:val="22"/>
          <w:szCs w:val="22"/>
        </w:rPr>
        <w:t>93%</w:t>
      </w:r>
      <w:r w:rsidRPr="004A1789">
        <w:rPr>
          <w:sz w:val="22"/>
          <w:szCs w:val="22"/>
        </w:rPr>
        <w:t xml:space="preserve"> </w:t>
      </w:r>
      <w:r>
        <w:rPr>
          <w:b/>
          <w:bCs/>
          <w:sz w:val="22"/>
          <w:szCs w:val="22"/>
        </w:rPr>
        <w:t>of YP report a good or very good relationship with staff</w:t>
      </w:r>
      <w:r w:rsidRPr="004A1789">
        <w:rPr>
          <w:sz w:val="22"/>
          <w:szCs w:val="22"/>
        </w:rPr>
        <w:t xml:space="preserve"> </w:t>
      </w:r>
    </w:p>
    <w:p w14:paraId="4ACA55D1" w14:textId="77777777" w:rsidR="00DF6F83" w:rsidRPr="004A1789" w:rsidRDefault="00DF6F83" w:rsidP="00DF6F83">
      <w:pPr>
        <w:pBdr>
          <w:top w:val="nil"/>
          <w:left w:val="nil"/>
          <w:bottom w:val="nil"/>
          <w:right w:val="nil"/>
          <w:between w:val="nil"/>
        </w:pBdr>
        <w:spacing w:before="120" w:after="120"/>
        <w:rPr>
          <w:sz w:val="22"/>
          <w:szCs w:val="22"/>
        </w:rPr>
      </w:pPr>
      <w:r w:rsidRPr="004A1789">
        <w:rPr>
          <w:sz w:val="22"/>
          <w:szCs w:val="22"/>
        </w:rPr>
        <w:t>This is arguably the most important outcome statistic, as the evaluation identifies the quality of these trusted relationships as the primary driver of positive change.</w:t>
      </w:r>
    </w:p>
    <w:p w14:paraId="4F4B1D40" w14:textId="77777777" w:rsidR="00DF6F83" w:rsidRPr="00337137" w:rsidRDefault="00DF6F83" w:rsidP="00293FB1">
      <w:pPr>
        <w:numPr>
          <w:ilvl w:val="0"/>
          <w:numId w:val="16"/>
        </w:numPr>
        <w:pBdr>
          <w:top w:val="nil"/>
          <w:left w:val="nil"/>
          <w:bottom w:val="nil"/>
          <w:right w:val="nil"/>
          <w:between w:val="nil"/>
        </w:pBdr>
        <w:spacing w:before="120" w:after="120"/>
        <w:rPr>
          <w:sz w:val="22"/>
          <w:szCs w:val="22"/>
        </w:rPr>
      </w:pPr>
      <w:r w:rsidRPr="004A1789">
        <w:rPr>
          <w:b/>
          <w:bCs/>
          <w:sz w:val="22"/>
          <w:szCs w:val="22"/>
        </w:rPr>
        <w:t>90%</w:t>
      </w:r>
      <w:r w:rsidRPr="004A1789">
        <w:rPr>
          <w:sz w:val="22"/>
          <w:szCs w:val="22"/>
        </w:rPr>
        <w:t xml:space="preserve"> </w:t>
      </w:r>
      <w:r>
        <w:rPr>
          <w:b/>
          <w:bCs/>
          <w:sz w:val="22"/>
          <w:szCs w:val="22"/>
        </w:rPr>
        <w:t>o</w:t>
      </w:r>
      <w:r w:rsidRPr="004A1789">
        <w:rPr>
          <w:b/>
          <w:bCs/>
          <w:sz w:val="22"/>
          <w:szCs w:val="22"/>
        </w:rPr>
        <w:t>f</w:t>
      </w:r>
      <w:r>
        <w:rPr>
          <w:b/>
          <w:bCs/>
          <w:sz w:val="22"/>
          <w:szCs w:val="22"/>
        </w:rPr>
        <w:t xml:space="preserve"> YP feel safe or very safe at the MHF activities</w:t>
      </w:r>
      <w:r w:rsidRPr="00337137">
        <w:rPr>
          <w:sz w:val="22"/>
          <w:szCs w:val="22"/>
        </w:rPr>
        <w:t xml:space="preserve"> </w:t>
      </w:r>
    </w:p>
    <w:p w14:paraId="0FADF06D" w14:textId="77777777" w:rsidR="00DF6F83" w:rsidRPr="004A1789" w:rsidRDefault="00DF6F83" w:rsidP="00DF6F83">
      <w:pPr>
        <w:pBdr>
          <w:top w:val="nil"/>
          <w:left w:val="nil"/>
          <w:bottom w:val="nil"/>
          <w:right w:val="nil"/>
          <w:between w:val="nil"/>
        </w:pBdr>
        <w:spacing w:before="120" w:after="120"/>
        <w:rPr>
          <w:sz w:val="22"/>
          <w:szCs w:val="22"/>
        </w:rPr>
      </w:pPr>
      <w:r w:rsidRPr="004A1789">
        <w:rPr>
          <w:sz w:val="22"/>
          <w:szCs w:val="22"/>
        </w:rPr>
        <w:t xml:space="preserve">This demonstrates the </w:t>
      </w:r>
      <w:r>
        <w:rPr>
          <w:sz w:val="22"/>
          <w:szCs w:val="22"/>
        </w:rPr>
        <w:t>MHF</w:t>
      </w:r>
      <w:r w:rsidRPr="004A1789">
        <w:rPr>
          <w:sz w:val="22"/>
          <w:szCs w:val="22"/>
        </w:rPr>
        <w:t>'s success in creating secure environments.</w:t>
      </w:r>
    </w:p>
    <w:p w14:paraId="1EED46B6" w14:textId="77777777" w:rsidR="00DF6F83" w:rsidRPr="004A1789" w:rsidRDefault="00DF6F83" w:rsidP="00293FB1">
      <w:pPr>
        <w:numPr>
          <w:ilvl w:val="0"/>
          <w:numId w:val="16"/>
        </w:numPr>
        <w:pBdr>
          <w:top w:val="nil"/>
          <w:left w:val="nil"/>
          <w:bottom w:val="nil"/>
          <w:right w:val="nil"/>
          <w:between w:val="nil"/>
        </w:pBdr>
        <w:spacing w:before="120" w:after="120"/>
        <w:rPr>
          <w:sz w:val="22"/>
          <w:szCs w:val="22"/>
        </w:rPr>
      </w:pPr>
      <w:r w:rsidRPr="004A1789">
        <w:rPr>
          <w:b/>
          <w:bCs/>
          <w:sz w:val="22"/>
          <w:szCs w:val="22"/>
        </w:rPr>
        <w:t>88%</w:t>
      </w:r>
      <w:r w:rsidRPr="004A1789">
        <w:rPr>
          <w:sz w:val="22"/>
          <w:szCs w:val="22"/>
        </w:rPr>
        <w:t xml:space="preserve"> </w:t>
      </w:r>
      <w:r w:rsidRPr="00AB3EB4">
        <w:rPr>
          <w:b/>
          <w:bCs/>
          <w:sz w:val="22"/>
          <w:szCs w:val="22"/>
        </w:rPr>
        <w:t>o</w:t>
      </w:r>
      <w:r w:rsidRPr="004A1789">
        <w:rPr>
          <w:b/>
          <w:bCs/>
          <w:sz w:val="22"/>
          <w:szCs w:val="22"/>
        </w:rPr>
        <w:t>f</w:t>
      </w:r>
      <w:r>
        <w:rPr>
          <w:b/>
          <w:bCs/>
          <w:sz w:val="22"/>
          <w:szCs w:val="22"/>
        </w:rPr>
        <w:t xml:space="preserve"> grantholders believe their project improves community integration</w:t>
      </w:r>
      <w:r w:rsidRPr="004A1789">
        <w:rPr>
          <w:sz w:val="22"/>
          <w:szCs w:val="22"/>
        </w:rPr>
        <w:t xml:space="preserve"> </w:t>
      </w:r>
    </w:p>
    <w:p w14:paraId="0FBE880A" w14:textId="77777777" w:rsidR="00DF6F83" w:rsidRPr="004A1789" w:rsidRDefault="00DF6F83" w:rsidP="00DF6F83">
      <w:pPr>
        <w:pBdr>
          <w:top w:val="nil"/>
          <w:left w:val="nil"/>
          <w:bottom w:val="nil"/>
          <w:right w:val="nil"/>
          <w:between w:val="nil"/>
        </w:pBdr>
        <w:spacing w:before="120" w:after="120"/>
        <w:rPr>
          <w:sz w:val="22"/>
          <w:szCs w:val="22"/>
        </w:rPr>
      </w:pPr>
      <w:r w:rsidRPr="004A1789">
        <w:rPr>
          <w:sz w:val="22"/>
          <w:szCs w:val="22"/>
        </w:rPr>
        <w:t xml:space="preserve">This shows a strong perception among </w:t>
      </w:r>
      <w:r>
        <w:rPr>
          <w:sz w:val="22"/>
          <w:szCs w:val="22"/>
        </w:rPr>
        <w:t>grantholders</w:t>
      </w:r>
      <w:r w:rsidRPr="004A1789">
        <w:rPr>
          <w:sz w:val="22"/>
          <w:szCs w:val="22"/>
        </w:rPr>
        <w:t xml:space="preserve"> that their work is fostering greater community cohesion and more positive relationships between different groups.</w:t>
      </w:r>
    </w:p>
    <w:p w14:paraId="1B75ABE5" w14:textId="77777777" w:rsidR="00DF6F83" w:rsidRPr="004A1789" w:rsidRDefault="00DF6F83" w:rsidP="00293FB1">
      <w:pPr>
        <w:numPr>
          <w:ilvl w:val="0"/>
          <w:numId w:val="16"/>
        </w:numPr>
        <w:pBdr>
          <w:top w:val="nil"/>
          <w:left w:val="nil"/>
          <w:bottom w:val="nil"/>
          <w:right w:val="nil"/>
          <w:between w:val="nil"/>
        </w:pBdr>
        <w:spacing w:before="120" w:after="120"/>
        <w:rPr>
          <w:sz w:val="22"/>
          <w:szCs w:val="22"/>
        </w:rPr>
      </w:pPr>
      <w:r w:rsidRPr="004A1789">
        <w:rPr>
          <w:b/>
          <w:bCs/>
          <w:sz w:val="22"/>
          <w:szCs w:val="22"/>
        </w:rPr>
        <w:t>88%</w:t>
      </w:r>
      <w:r w:rsidRPr="004A1789">
        <w:rPr>
          <w:sz w:val="22"/>
          <w:szCs w:val="22"/>
        </w:rPr>
        <w:t xml:space="preserve"> </w:t>
      </w:r>
      <w:r>
        <w:rPr>
          <w:b/>
          <w:bCs/>
          <w:sz w:val="22"/>
          <w:szCs w:val="22"/>
        </w:rPr>
        <w:t>o</w:t>
      </w:r>
      <w:r w:rsidRPr="004A1789">
        <w:rPr>
          <w:b/>
          <w:bCs/>
          <w:sz w:val="22"/>
          <w:szCs w:val="22"/>
        </w:rPr>
        <w:t>f</w:t>
      </w:r>
      <w:r>
        <w:rPr>
          <w:b/>
          <w:bCs/>
          <w:sz w:val="22"/>
          <w:szCs w:val="22"/>
        </w:rPr>
        <w:t xml:space="preserve"> grantholders reported their staff increased their skills and knowledge</w:t>
      </w:r>
      <w:r w:rsidRPr="004A1789">
        <w:rPr>
          <w:sz w:val="22"/>
          <w:szCs w:val="22"/>
        </w:rPr>
        <w:t xml:space="preserve"> </w:t>
      </w:r>
    </w:p>
    <w:p w14:paraId="69CB4D12" w14:textId="67694C3E" w:rsidR="007C66B6" w:rsidRPr="00786A08" w:rsidRDefault="00DF6F83" w:rsidP="00786A08">
      <w:pPr>
        <w:pBdr>
          <w:top w:val="nil"/>
          <w:left w:val="nil"/>
          <w:bottom w:val="nil"/>
          <w:right w:val="nil"/>
          <w:between w:val="nil"/>
        </w:pBdr>
        <w:spacing w:before="120" w:after="120"/>
        <w:rPr>
          <w:sz w:val="22"/>
          <w:szCs w:val="22"/>
        </w:rPr>
      </w:pPr>
      <w:r w:rsidRPr="004A1789">
        <w:rPr>
          <w:sz w:val="22"/>
          <w:szCs w:val="22"/>
        </w:rPr>
        <w:t xml:space="preserve">This highlights a direct and tangible benefit </w:t>
      </w:r>
      <w:r>
        <w:rPr>
          <w:sz w:val="22"/>
          <w:szCs w:val="22"/>
        </w:rPr>
        <w:t>of</w:t>
      </w:r>
      <w:r w:rsidRPr="004A1789">
        <w:rPr>
          <w:sz w:val="22"/>
          <w:szCs w:val="22"/>
        </w:rPr>
        <w:t xml:space="preserve"> the professional development of the youth sector workforce </w:t>
      </w:r>
      <w:proofErr w:type="gramStart"/>
      <w:r w:rsidRPr="004A1789">
        <w:rPr>
          <w:sz w:val="22"/>
          <w:szCs w:val="22"/>
        </w:rPr>
        <w:t>as a result of</w:t>
      </w:r>
      <w:proofErr w:type="gramEnd"/>
      <w:r w:rsidRPr="004A1789">
        <w:rPr>
          <w:sz w:val="22"/>
          <w:szCs w:val="22"/>
        </w:rPr>
        <w:t xml:space="preserve"> the MHF grant.</w:t>
      </w:r>
    </w:p>
    <w:p w14:paraId="5031D5F0" w14:textId="2BB2148E" w:rsidR="00730995" w:rsidRDefault="00730995">
      <w:r>
        <w:br w:type="page"/>
      </w:r>
    </w:p>
    <w:p w14:paraId="3E6CB0D4" w14:textId="77777777" w:rsidR="001A7BD7" w:rsidRDefault="001A7BD7" w:rsidP="00005946"/>
    <w:p w14:paraId="5BBFBC55" w14:textId="26EA8430" w:rsidR="008A0B70" w:rsidRDefault="00F207DA" w:rsidP="00C632DE">
      <w:pPr>
        <w:pStyle w:val="Subhead"/>
      </w:pPr>
      <w:bookmarkStart w:id="1" w:name="_Toc194321984"/>
      <w:bookmarkStart w:id="2" w:name="_Toc194322055"/>
      <w:bookmarkStart w:id="3" w:name="_Toc194322103"/>
      <w:bookmarkStart w:id="4" w:name="_Toc201666354"/>
      <w:r>
        <w:rPr>
          <w:noProof/>
        </w:rPr>
        <w:drawing>
          <wp:anchor distT="0" distB="0" distL="114300" distR="114300" simplePos="0" relativeHeight="251658246" behindDoc="0" locked="0" layoutInCell="1" allowOverlap="1" wp14:anchorId="313572A0" wp14:editId="579D48E8">
            <wp:simplePos x="0" y="0"/>
            <wp:positionH relativeFrom="column">
              <wp:posOffset>4250690</wp:posOffset>
            </wp:positionH>
            <wp:positionV relativeFrom="margin">
              <wp:posOffset>-704850</wp:posOffset>
            </wp:positionV>
            <wp:extent cx="2286410" cy="1228298"/>
            <wp:effectExtent l="0" t="0" r="0" b="0"/>
            <wp:wrapNone/>
            <wp:docPr id="1216190889"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86410" cy="1228298"/>
                    </a:xfrm>
                    <a:prstGeom prst="rect">
                      <a:avLst/>
                    </a:prstGeom>
                    <a:noFill/>
                    <a:ln>
                      <a:noFill/>
                    </a:ln>
                  </pic:spPr>
                </pic:pic>
              </a:graphicData>
            </a:graphic>
            <wp14:sizeRelH relativeFrom="page">
              <wp14:pctWidth>0</wp14:pctWidth>
            </wp14:sizeRelH>
            <wp14:sizeRelV relativeFrom="page">
              <wp14:pctHeight>0</wp14:pctHeight>
            </wp14:sizeRelV>
          </wp:anchor>
        </w:drawing>
      </w:r>
      <w:r w:rsidR="00EC44EA">
        <w:rPr>
          <w:noProof/>
        </w:rPr>
        <mc:AlternateContent>
          <mc:Choice Requires="wps">
            <w:drawing>
              <wp:anchor distT="0" distB="0" distL="114300" distR="114300" simplePos="0" relativeHeight="251658240" behindDoc="0" locked="0" layoutInCell="1" allowOverlap="1" wp14:anchorId="2A8532CD" wp14:editId="721DBF00">
                <wp:simplePos x="0" y="0"/>
                <wp:positionH relativeFrom="page">
                  <wp:posOffset>-127635</wp:posOffset>
                </wp:positionH>
                <wp:positionV relativeFrom="page">
                  <wp:align>center</wp:align>
                </wp:positionV>
                <wp:extent cx="7717790" cy="11193780"/>
                <wp:effectExtent l="0" t="0" r="0" b="7620"/>
                <wp:wrapNone/>
                <wp:docPr id="744332752" name="Rectangle 7"/>
                <wp:cNvGraphicFramePr/>
                <a:graphic xmlns:a="http://schemas.openxmlformats.org/drawingml/2006/main">
                  <a:graphicData uri="http://schemas.microsoft.com/office/word/2010/wordprocessingShape">
                    <wps:wsp>
                      <wps:cNvSpPr/>
                      <wps:spPr>
                        <a:xfrm>
                          <a:off x="0" y="0"/>
                          <a:ext cx="7717790" cy="11193780"/>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333D62F" w14:textId="77777777" w:rsidR="00730995" w:rsidRDefault="00730995"/>
                          <w:p w14:paraId="2BAE58E8" w14:textId="77777777" w:rsidR="00730995" w:rsidRDefault="00730995"/>
                          <w:p w14:paraId="19F06AF1" w14:textId="77777777" w:rsidR="00730995" w:rsidRDefault="0073099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8532CD" id="Rectangle 7" o:spid="_x0000_s1027" style="position:absolute;margin-left:-10.05pt;margin-top:0;width:607.7pt;height:881.4pt;z-index:251658240;visibility:visible;mso-wrap-style:square;mso-wrap-distance-left:9pt;mso-wrap-distance-top:0;mso-wrap-distance-right:9pt;mso-wrap-distance-bottom:0;mso-position-horizontal:absolute;mso-position-horizontal-relative:page;mso-position-vertical:center;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" fillcolor="#253360 [3214]" stroked="f" strokeweight="2pt">
                <v:textbox>
                  <w:txbxContent>
                    <w:p w14:paraId="0333D62F" w14:textId="77777777" w:rsidR="00730995" w:rsidRDefault="00730995"/>
                    <w:p w14:paraId="2BAE58E8" w14:textId="77777777" w:rsidR="00730995" w:rsidRDefault="00730995"/>
                    <w:p w14:paraId="19F06AF1" w14:textId="77777777" w:rsidR="00730995" w:rsidRDefault="00730995"/>
                  </w:txbxContent>
                </v:textbox>
                <w10:wrap anchorx="page" anchory="page"/>
              </v:rect>
            </w:pict>
          </mc:Fallback>
        </mc:AlternateContent>
      </w:r>
      <w:r w:rsidR="001B4529">
        <w:rPr>
          <w:noProof/>
        </w:rPr>
        <w:drawing>
          <wp:anchor distT="0" distB="0" distL="114300" distR="114300" simplePos="0" relativeHeight="251658242" behindDoc="1" locked="0" layoutInCell="1" allowOverlap="1" wp14:anchorId="19F3C08E" wp14:editId="74ADC184">
            <wp:simplePos x="0" y="0"/>
            <wp:positionH relativeFrom="column">
              <wp:posOffset>-1042988</wp:posOffset>
            </wp:positionH>
            <wp:positionV relativeFrom="page">
              <wp:posOffset>-300038</wp:posOffset>
            </wp:positionV>
            <wp:extent cx="4745990" cy="1795145"/>
            <wp:effectExtent l="0" t="0" r="0" b="0"/>
            <wp:wrapNone/>
            <wp:docPr id="74219604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196049" name="Picture 1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745990" cy="179514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
      <w:bookmarkEnd w:id="2"/>
      <w:bookmarkEnd w:id="3"/>
      <w:r w:rsidR="00603121">
        <w:rPr>
          <w:noProof/>
        </w:rPr>
        <w:drawing>
          <wp:anchor distT="0" distB="0" distL="114300" distR="114300" simplePos="0" relativeHeight="251658241" behindDoc="1" locked="0" layoutInCell="1" allowOverlap="1" wp14:anchorId="4275DD33" wp14:editId="53801B8D">
            <wp:simplePos x="0" y="0"/>
            <wp:positionH relativeFrom="column">
              <wp:posOffset>0</wp:posOffset>
            </wp:positionH>
            <wp:positionV relativeFrom="page">
              <wp:posOffset>0</wp:posOffset>
            </wp:positionV>
            <wp:extent cx="4745990" cy="1795145"/>
            <wp:effectExtent l="0" t="0" r="0" b="0"/>
            <wp:wrapNone/>
            <wp:docPr id="178572151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745990" cy="179514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4"/>
    </w:p>
    <w:p w14:paraId="7348D945" w14:textId="2DC022F2" w:rsidR="006F4EAC" w:rsidRDefault="006F4EAC"/>
    <w:p w14:paraId="6F04DA29" w14:textId="749F8EA3" w:rsidR="00E034CC" w:rsidRPr="00E034CC" w:rsidRDefault="0016120B" w:rsidP="00240E92">
      <w:pPr>
        <w:pStyle w:val="Subhead"/>
      </w:pPr>
      <w:r w:rsidRPr="00BB6949">
        <w:rPr>
          <w:noProof/>
        </w:rPr>
        <mc:AlternateContent>
          <mc:Choice Requires="wpg">
            <w:drawing>
              <wp:anchor distT="0" distB="0" distL="114300" distR="114300" simplePos="0" relativeHeight="251658244" behindDoc="0" locked="0" layoutInCell="1" allowOverlap="1" wp14:anchorId="41EA4B5B" wp14:editId="67BC1DCD">
                <wp:simplePos x="0" y="0"/>
                <wp:positionH relativeFrom="page">
                  <wp:posOffset>123825</wp:posOffset>
                </wp:positionH>
                <wp:positionV relativeFrom="page">
                  <wp:posOffset>9391650</wp:posOffset>
                </wp:positionV>
                <wp:extent cx="1160780" cy="1245914"/>
                <wp:effectExtent l="0" t="0" r="0" b="0"/>
                <wp:wrapNone/>
                <wp:docPr id="45" name="Group 44">
                  <a:extLst xmlns:a="http://schemas.openxmlformats.org/drawingml/2006/main">
                    <a:ext uri="{FF2B5EF4-FFF2-40B4-BE49-F238E27FC236}">
                      <a16:creationId xmlns:a16="http://schemas.microsoft.com/office/drawing/2014/main" id="{44DC73CB-3BDF-B564-53ED-1A864B36E2E4}"/>
                    </a:ext>
                  </a:extLst>
                </wp:docPr>
                <wp:cNvGraphicFramePr/>
                <a:graphic xmlns:a="http://schemas.openxmlformats.org/drawingml/2006/main">
                  <a:graphicData uri="http://schemas.microsoft.com/office/word/2010/wordprocessingGroup">
                    <wpg:wgp>
                      <wpg:cNvGrpSpPr/>
                      <wpg:grpSpPr>
                        <a:xfrm>
                          <a:off x="0" y="0"/>
                          <a:ext cx="1160780" cy="1245914"/>
                          <a:chOff x="0" y="1101234"/>
                          <a:chExt cx="1160899" cy="1246098"/>
                        </a:xfrm>
                      </wpg:grpSpPr>
                      <wpg:grpSp>
                        <wpg:cNvPr id="868729121" name="Group 868729121">
                          <a:extLst>
                            <a:ext uri="{FF2B5EF4-FFF2-40B4-BE49-F238E27FC236}">
                              <a16:creationId xmlns:a16="http://schemas.microsoft.com/office/drawing/2014/main" id="{2FA9D81A-F6CD-936C-E5B2-43F955419FED}"/>
                            </a:ext>
                          </a:extLst>
                        </wpg:cNvPr>
                        <wpg:cNvGrpSpPr/>
                        <wpg:grpSpPr>
                          <a:xfrm>
                            <a:off x="386244" y="1462258"/>
                            <a:ext cx="388410" cy="382808"/>
                            <a:chOff x="386244" y="1462258"/>
                            <a:chExt cx="4533900" cy="4533900"/>
                          </a:xfrm>
                        </wpg:grpSpPr>
                        <wps:wsp>
                          <wps:cNvPr id="1015162010" name="Oval 1015162010">
                            <a:hlinkClick r:id="rId19"/>
                            <a:extLst>
                              <a:ext uri="{FF2B5EF4-FFF2-40B4-BE49-F238E27FC236}">
                                <a16:creationId xmlns:a16="http://schemas.microsoft.com/office/drawing/2014/main" id="{26B9DC81-E3B0-715E-BF39-BEF679D2EE7F}"/>
                              </a:ext>
                            </a:extLst>
                          </wps:cNvPr>
                          <wps:cNvSpPr>
                            <a:spLocks noChangeArrowheads="1"/>
                          </wps:cNvSpPr>
                          <wps:spPr bwMode="auto">
                            <a:xfrm>
                              <a:off x="386244" y="1462258"/>
                              <a:ext cx="4533900" cy="4533900"/>
                            </a:xfrm>
                            <a:prstGeom prst="ellipse">
                              <a:avLst/>
                            </a:prstGeom>
                            <a:solidFill>
                              <a:schemeClr val="bg1"/>
                            </a:solidFill>
                            <a:ln w="12700" cap="flat">
                              <a:noFill/>
                              <a:miter lim="400000"/>
                            </a:ln>
                            <a:effectLst/>
                          </wps:spPr>
                          <wps:bodyPr wrap="square" lIns="50800" tIns="50800" rIns="50800" bIns="50800" numCol="1" anchor="ctr">
                            <a:noAutofit/>
                          </wps:bodyPr>
                        </wps:wsp>
                        <wpg:grpSp>
                          <wpg:cNvPr id="735843901" name="Group 735843901">
                            <a:extLst>
                              <a:ext uri="{FF2B5EF4-FFF2-40B4-BE49-F238E27FC236}">
                                <a16:creationId xmlns:a16="http://schemas.microsoft.com/office/drawing/2014/main" id="{2AD30FB8-1AE5-D547-4B9D-47ED12E5500F}"/>
                              </a:ext>
                            </a:extLst>
                          </wpg:cNvPr>
                          <wpg:cNvGrpSpPr/>
                          <wpg:grpSpPr>
                            <a:xfrm>
                              <a:off x="1530832" y="2463971"/>
                              <a:ext cx="2397125" cy="2395537"/>
                              <a:chOff x="1530832" y="2463971"/>
                              <a:chExt cx="2397125" cy="2395537"/>
                            </a:xfrm>
                            <a:solidFill>
                              <a:schemeClr val="tx1"/>
                            </a:solidFill>
                          </wpg:grpSpPr>
                          <wps:wsp>
                            <wps:cNvPr id="2075212185" name="Rectangle 2075212185">
                              <a:extLst>
                                <a:ext uri="{FF2B5EF4-FFF2-40B4-BE49-F238E27FC236}">
                                  <a16:creationId xmlns:a16="http://schemas.microsoft.com/office/drawing/2014/main" id="{DDA6B564-9E77-DBC8-2496-0846C9AB494A}"/>
                                </a:ext>
                              </a:extLst>
                            </wps:cNvPr>
                            <wps:cNvSpPr>
                              <a:spLocks noChangeArrowheads="1"/>
                            </wps:cNvSpPr>
                            <wps:spPr bwMode="auto">
                              <a:xfrm>
                                <a:off x="1578457" y="3265658"/>
                                <a:ext cx="496888" cy="1593850"/>
                              </a:xfrm>
                              <a:prstGeom prst="rect">
                                <a:avLst/>
                              </a:prstGeom>
                              <a:solidFill>
                                <a:schemeClr val="tx2"/>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240940449" name="Oval 1240940449">
                              <a:extLst>
                                <a:ext uri="{FF2B5EF4-FFF2-40B4-BE49-F238E27FC236}">
                                  <a16:creationId xmlns:a16="http://schemas.microsoft.com/office/drawing/2014/main" id="{BF58C832-981A-B07F-D95F-C8210CD68045}"/>
                                </a:ext>
                              </a:extLst>
                            </wps:cNvPr>
                            <wps:cNvSpPr>
                              <a:spLocks noChangeArrowheads="1"/>
                            </wps:cNvSpPr>
                            <wps:spPr bwMode="auto">
                              <a:xfrm>
                                <a:off x="1530832" y="2463971"/>
                                <a:ext cx="592138" cy="592138"/>
                              </a:xfrm>
                              <a:prstGeom prst="ellipse">
                                <a:avLst/>
                              </a:prstGeom>
                              <a:solidFill>
                                <a:schemeClr val="tx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633237369" name="Freeform 8">
                              <a:extLst>
                                <a:ext uri="{FF2B5EF4-FFF2-40B4-BE49-F238E27FC236}">
                                  <a16:creationId xmlns:a16="http://schemas.microsoft.com/office/drawing/2014/main" id="{16DF8DE2-7E5C-3886-3855-7DA749E5DC1F}"/>
                                </a:ext>
                              </a:extLst>
                            </wps:cNvPr>
                            <wps:cNvSpPr>
                              <a:spLocks/>
                            </wps:cNvSpPr>
                            <wps:spPr bwMode="auto">
                              <a:xfrm>
                                <a:off x="2391257" y="3218033"/>
                                <a:ext cx="1536700" cy="1641475"/>
                              </a:xfrm>
                              <a:custGeom>
                                <a:avLst/>
                                <a:gdLst>
                                  <a:gd name="T0" fmla="*/ 50 w 161"/>
                                  <a:gd name="T1" fmla="*/ 85 h 172"/>
                                  <a:gd name="T2" fmla="*/ 82 w 161"/>
                                  <a:gd name="T3" fmla="*/ 47 h 172"/>
                                  <a:gd name="T4" fmla="*/ 110 w 161"/>
                                  <a:gd name="T5" fmla="*/ 85 h 172"/>
                                  <a:gd name="T6" fmla="*/ 110 w 161"/>
                                  <a:gd name="T7" fmla="*/ 172 h 172"/>
                                  <a:gd name="T8" fmla="*/ 161 w 161"/>
                                  <a:gd name="T9" fmla="*/ 172 h 172"/>
                                  <a:gd name="T10" fmla="*/ 161 w 161"/>
                                  <a:gd name="T11" fmla="*/ 66 h 172"/>
                                  <a:gd name="T12" fmla="*/ 100 w 161"/>
                                  <a:gd name="T13" fmla="*/ 0 h 172"/>
                                  <a:gd name="T14" fmla="*/ 50 w 161"/>
                                  <a:gd name="T15" fmla="*/ 28 h 172"/>
                                  <a:gd name="T16" fmla="*/ 50 w 161"/>
                                  <a:gd name="T17" fmla="*/ 5 h 172"/>
                                  <a:gd name="T18" fmla="*/ 0 w 161"/>
                                  <a:gd name="T19" fmla="*/ 5 h 172"/>
                                  <a:gd name="T20" fmla="*/ 0 w 161"/>
                                  <a:gd name="T21" fmla="*/ 172 h 172"/>
                                  <a:gd name="T22" fmla="*/ 50 w 161"/>
                                  <a:gd name="T23" fmla="*/ 172 h 172"/>
                                  <a:gd name="T24" fmla="*/ 50 w 161"/>
                                  <a:gd name="T25" fmla="*/ 85 h 1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61" h="172">
                                    <a:moveTo>
                                      <a:pt x="50" y="85"/>
                                    </a:moveTo>
                                    <a:cubicBezTo>
                                      <a:pt x="50" y="61"/>
                                      <a:pt x="61" y="47"/>
                                      <a:pt x="82" y="47"/>
                                    </a:cubicBezTo>
                                    <a:cubicBezTo>
                                      <a:pt x="101" y="47"/>
                                      <a:pt x="110" y="60"/>
                                      <a:pt x="110" y="85"/>
                                    </a:cubicBezTo>
                                    <a:cubicBezTo>
                                      <a:pt x="110" y="109"/>
                                      <a:pt x="110" y="172"/>
                                      <a:pt x="110" y="172"/>
                                    </a:cubicBezTo>
                                    <a:cubicBezTo>
                                      <a:pt x="161" y="172"/>
                                      <a:pt x="161" y="172"/>
                                      <a:pt x="161" y="172"/>
                                    </a:cubicBezTo>
                                    <a:cubicBezTo>
                                      <a:pt x="161" y="172"/>
                                      <a:pt x="161" y="111"/>
                                      <a:pt x="161" y="66"/>
                                    </a:cubicBezTo>
                                    <a:cubicBezTo>
                                      <a:pt x="161" y="22"/>
                                      <a:pt x="136" y="0"/>
                                      <a:pt x="100" y="0"/>
                                    </a:cubicBezTo>
                                    <a:cubicBezTo>
                                      <a:pt x="65" y="0"/>
                                      <a:pt x="50" y="28"/>
                                      <a:pt x="50" y="28"/>
                                    </a:cubicBezTo>
                                    <a:cubicBezTo>
                                      <a:pt x="50" y="5"/>
                                      <a:pt x="50" y="5"/>
                                      <a:pt x="50" y="5"/>
                                    </a:cubicBezTo>
                                    <a:cubicBezTo>
                                      <a:pt x="0" y="5"/>
                                      <a:pt x="0" y="5"/>
                                      <a:pt x="0" y="5"/>
                                    </a:cubicBezTo>
                                    <a:cubicBezTo>
                                      <a:pt x="0" y="172"/>
                                      <a:pt x="0" y="172"/>
                                      <a:pt x="0" y="172"/>
                                    </a:cubicBezTo>
                                    <a:cubicBezTo>
                                      <a:pt x="50" y="172"/>
                                      <a:pt x="50" y="172"/>
                                      <a:pt x="50" y="172"/>
                                    </a:cubicBezTo>
                                    <a:cubicBezTo>
                                      <a:pt x="50" y="172"/>
                                      <a:pt x="50" y="110"/>
                                      <a:pt x="50" y="85"/>
                                    </a:cubicBezTo>
                                    <a:close/>
                                  </a:path>
                                </a:pathLst>
                              </a:custGeom>
                              <a:solidFill>
                                <a:schemeClr val="tx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grpSp>
                      <wps:wsp>
                        <wps:cNvPr id="1662482558" name="Freeform: Shape 36">
                          <a:extLst>
                            <a:ext uri="{FF2B5EF4-FFF2-40B4-BE49-F238E27FC236}">
                              <a16:creationId xmlns:a16="http://schemas.microsoft.com/office/drawing/2014/main" id="{C6306173-F39A-D2AC-C392-22D35D780924}"/>
                            </a:ext>
                          </a:extLst>
                        </wps:cNvPr>
                        <wps:cNvSpPr/>
                        <wps:spPr>
                          <a:xfrm>
                            <a:off x="614090" y="2327889"/>
                            <a:ext cx="19711" cy="19443"/>
                          </a:xfrm>
                          <a:custGeom>
                            <a:avLst/>
                            <a:gdLst>
                              <a:gd name="connsiteX0" fmla="*/ 27916 w 55231"/>
                              <a:gd name="connsiteY0" fmla="*/ 6 h 55277"/>
                              <a:gd name="connsiteX1" fmla="*/ 55223 w 55231"/>
                              <a:gd name="connsiteY1" fmla="*/ 27939 h 55277"/>
                              <a:gd name="connsiteX2" fmla="*/ 27191 w 55231"/>
                              <a:gd name="connsiteY2" fmla="*/ 55272 h 55277"/>
                              <a:gd name="connsiteX3" fmla="*/ 8 w 55231"/>
                              <a:gd name="connsiteY3" fmla="*/ 27014 h 55277"/>
                              <a:gd name="connsiteX4" fmla="*/ 27916 w 55231"/>
                              <a:gd name="connsiteY4" fmla="*/ 6 h 5527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5231" h="55277">
                                <a:moveTo>
                                  <a:pt x="27916" y="6"/>
                                </a:moveTo>
                                <a:cubicBezTo>
                                  <a:pt x="43295" y="331"/>
                                  <a:pt x="55599" y="12935"/>
                                  <a:pt x="55223" y="27939"/>
                                </a:cubicBezTo>
                                <a:cubicBezTo>
                                  <a:pt x="54823" y="43318"/>
                                  <a:pt x="42220" y="55597"/>
                                  <a:pt x="27191" y="55272"/>
                                </a:cubicBezTo>
                                <a:cubicBezTo>
                                  <a:pt x="12112" y="54946"/>
                                  <a:pt x="-367" y="41968"/>
                                  <a:pt x="8" y="27014"/>
                                </a:cubicBezTo>
                                <a:cubicBezTo>
                                  <a:pt x="383" y="11885"/>
                                  <a:pt x="12987" y="-319"/>
                                  <a:pt x="27916" y="6"/>
                                </a:cubicBezTo>
                                <a:close/>
                              </a:path>
                            </a:pathLst>
                          </a:custGeom>
                          <a:solidFill>
                            <a:schemeClr val="tx2"/>
                          </a:solidFill>
                          <a:ln w="2498" cap="flat">
                            <a:noFill/>
                            <a:prstDash val="solid"/>
                            <a:miter/>
                          </a:ln>
                        </wps:spPr>
                        <wps:bodyPr rtlCol="0" anchor="ctr"/>
                      </wps:wsp>
                      <wps:wsp>
                        <wps:cNvPr id="2001883179" name="Rectangle 2001883179">
                          <a:hlinkClick r:id="rId19"/>
                          <a:extLst>
                            <a:ext uri="{FF2B5EF4-FFF2-40B4-BE49-F238E27FC236}">
                              <a16:creationId xmlns:a16="http://schemas.microsoft.com/office/drawing/2014/main" id="{1F41D49A-CAE2-69D2-478C-1E42CFFC73C9}"/>
                            </a:ext>
                          </a:extLst>
                        </wps:cNvPr>
                        <wps:cNvSpPr/>
                        <wps:spPr>
                          <a:xfrm>
                            <a:off x="0" y="1101234"/>
                            <a:ext cx="1160899" cy="99074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V relativeFrom="margin">
                  <wp14:pctHeight>0</wp14:pctHeight>
                </wp14:sizeRelV>
              </wp:anchor>
            </w:drawing>
          </mc:Choice>
          <mc:Fallback>
            <w:pict>
              <v:group w14:anchorId="2E2A66D4" id="Group 44" o:spid="_x0000_s1026" style="position:absolute;margin-left:9.75pt;margin-top:739.5pt;width:91.4pt;height:98.1pt;z-index:251658244;mso-position-horizontal-relative:page;mso-position-vertical-relative:page;mso-height-relative:margin" coordorigin=",11012" coordsize="11608,12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">
                <v:group id="Group 868729121" o:spid="_x0000_s1027" style="position:absolute;left:3862;top:14622;width:3884;height:3828" coordorigin="3862,14622" coordsize="45339,45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">
                  <v:oval id="Oval 1015162010" o:spid="_x0000_s1028" href="https://www.linkedin.com/company/rsk-group" style="position:absolute;left:3862;top:14622;width:45339;height:453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" o:button="t" fillcolor="white [3212]" stroked="f" strokeweight="1pt">
                    <v:fill o:detectmouseclick="t"/>
                    <v:stroke miterlimit="4" joinstyle="miter"/>
                    <v:textbox inset="4pt,4pt,4pt,4pt"/>
                  </v:oval>
                  <v:group id="Group 735843901" o:spid="_x0000_s1029" style="position:absolute;left:15308;top:24639;width:23971;height:23956" coordorigin="15308,24639" coordsize="23971,23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">
                    <v:rect id="Rectangle 2075212185" o:spid="_x0000_s1030" style="position:absolute;left:15784;top:32656;width:4969;height:15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" fillcolor="#333 [3215]" stroked="f"/>
                    <v:oval id="Oval 1240940449" o:spid="_x0000_s1031" style="position:absolute;left:15308;top:24639;width:5921;height:5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" fillcolor="#333 [3215]" stroked="f"/>
                    <v:shape id="Freeform 8" o:spid="_x0000_s1032" style="position:absolute;left:23912;top:32180;width:15367;height:16415;visibility:visible;mso-wrap-style:square;v-text-anchor:top" coordsize="161,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" path="m50,85c50,61,61,47,82,47v19,,28,13,28,38c110,109,110,172,110,172v51,,51,,51,c161,172,161,111,161,66,161,22,136,,100,,65,,50,28,50,28,50,5,50,5,50,5,,5,,5,,5,,172,,172,,172v50,,50,,50,c50,172,50,110,50,85xe" fillcolor="#333 [3215]" stroked="f">
                      <v:path arrowok="t" o:connecttype="custom" o:connectlocs="477236,811194;782667,448543;1049919,811194;1049919,1641475;1536700,1641475;1536700,629868;954472,0;477236,267217;477236,47717;0,47717;0,1641475;477236,1641475;477236,811194" o:connectangles="0,0,0,0,0,0,0,0,0,0,0,0,0"/>
                    </v:shape>
                  </v:group>
                </v:group>
                <v:shape id="Freeform: Shape 36" o:spid="_x0000_s1033" style="position:absolute;left:6140;top:23278;width:198;height:195;visibility:visible;mso-wrap-style:square;v-text-anchor:middle" coordsize="55231,55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" path="m27916,6c43295,331,55599,12935,55223,27939,54823,43318,42220,55597,27191,55272,12112,54946,-367,41968,8,27014,383,11885,12987,-319,27916,6xe" fillcolor="#333 [3215]" stroked="f" strokeweight=".06939mm">
                  <v:stroke joinstyle="miter"/>
                  <v:path arrowok="t" o:connecttype="custom" o:connectlocs="9963,2;19708,9827;9704,19441;3,9502;9963,2" o:connectangles="0,0,0,0,0"/>
                </v:shape>
                <v:rect id="Rectangle 2001883179" o:spid="_x0000_s1034" href="https://www.linkedin.com/company/rsk-group" style="position:absolute;top:11012;width:11608;height:99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" o:button="t" filled="f" stroked="f" strokeweight="2pt">
                  <v:fill o:detectmouseclick="t"/>
                </v:rect>
                <w10:wrap anchorx="page" anchory="page"/>
              </v:group>
            </w:pict>
          </mc:Fallback>
        </mc:AlternateContent>
      </w:r>
      <w:r>
        <w:rPr>
          <w:rFonts w:ascii="Arial" w:hAnsi="Arial"/>
          <w:b w:val="0"/>
          <w:noProof/>
          <w:color w:val="000000" w:themeColor="text1"/>
          <w:szCs w:val="16"/>
        </w:rPr>
        <mc:AlternateContent>
          <mc:Choice Requires="wps">
            <w:drawing>
              <wp:anchor distT="0" distB="0" distL="114300" distR="114300" simplePos="0" relativeHeight="251658248" behindDoc="0" locked="0" layoutInCell="1" allowOverlap="1" wp14:anchorId="243DD057" wp14:editId="7EF900BE">
                <wp:simplePos x="0" y="0"/>
                <wp:positionH relativeFrom="column">
                  <wp:posOffset>752475</wp:posOffset>
                </wp:positionH>
                <wp:positionV relativeFrom="paragraph">
                  <wp:posOffset>8380095</wp:posOffset>
                </wp:positionV>
                <wp:extent cx="5391150" cy="495300"/>
                <wp:effectExtent l="0" t="0" r="0" b="0"/>
                <wp:wrapNone/>
                <wp:docPr id="1149077941" name="Text Box 40"/>
                <wp:cNvGraphicFramePr/>
                <a:graphic xmlns:a="http://schemas.openxmlformats.org/drawingml/2006/main">
                  <a:graphicData uri="http://schemas.microsoft.com/office/word/2010/wordprocessingShape">
                    <wps:wsp>
                      <wps:cNvSpPr txBox="1"/>
                      <wps:spPr>
                        <a:xfrm>
                          <a:off x="0" y="0"/>
                          <a:ext cx="5391150" cy="495300"/>
                        </a:xfrm>
                        <a:prstGeom prst="rect">
                          <a:avLst/>
                        </a:prstGeom>
                        <a:noFill/>
                        <a:ln w="6350">
                          <a:noFill/>
                        </a:ln>
                      </wps:spPr>
                      <wps:txbx>
                        <w:txbxContent>
                          <w:p w14:paraId="617C0DE0" w14:textId="77777777" w:rsidR="0016120B" w:rsidRPr="0016120B" w:rsidRDefault="0016120B" w:rsidP="0016120B">
                            <w:pPr>
                              <w:jc w:val="right"/>
                              <w:rPr>
                                <w:b/>
                                <w:bCs/>
                                <w:color w:val="FFFFFF" w:themeColor="background1"/>
                                <w:sz w:val="16"/>
                                <w:szCs w:val="16"/>
                                <w:lang w:val="en-US"/>
                              </w:rPr>
                            </w:pPr>
                            <w:r w:rsidRPr="0016120B">
                              <w:rPr>
                                <w:color w:val="FFFFFF" w:themeColor="background1"/>
                                <w:sz w:val="16"/>
                                <w:szCs w:val="16"/>
                                <w:lang w:val="en-US"/>
                              </w:rPr>
                              <w:t>Economic Research Services Limited</w:t>
                            </w:r>
                            <w:r w:rsidRPr="0016120B">
                              <w:rPr>
                                <w:b/>
                                <w:bCs/>
                                <w:color w:val="FFFFFF" w:themeColor="background1"/>
                                <w:sz w:val="16"/>
                                <w:szCs w:val="16"/>
                                <w:lang w:val="en-US"/>
                              </w:rPr>
                              <w:t xml:space="preserve"> </w:t>
                            </w:r>
                            <w:r w:rsidRPr="0016120B">
                              <w:rPr>
                                <w:color w:val="FFFFFF" w:themeColor="background1"/>
                                <w:sz w:val="16"/>
                                <w:szCs w:val="16"/>
                                <w:lang w:val="en-US"/>
                              </w:rPr>
                              <w:t>t/a</w:t>
                            </w:r>
                            <w:r w:rsidRPr="0016120B">
                              <w:rPr>
                                <w:b/>
                                <w:bCs/>
                                <w:color w:val="FFFFFF" w:themeColor="background1"/>
                                <w:sz w:val="16"/>
                                <w:szCs w:val="16"/>
                                <w:lang w:val="en-US"/>
                              </w:rPr>
                              <w:t xml:space="preserve"> Fortia Insight</w:t>
                            </w:r>
                          </w:p>
                          <w:p w14:paraId="6F2D2C61" w14:textId="77777777" w:rsidR="0016120B" w:rsidRPr="0016120B" w:rsidRDefault="0016120B" w:rsidP="0016120B">
                            <w:pPr>
                              <w:jc w:val="right"/>
                              <w:rPr>
                                <w:color w:val="FFFFFF" w:themeColor="background1"/>
                                <w:sz w:val="16"/>
                                <w:szCs w:val="16"/>
                                <w:lang w:val="en-US"/>
                              </w:rPr>
                            </w:pPr>
                            <w:r w:rsidRPr="0016120B">
                              <w:rPr>
                                <w:color w:val="FFFFFF" w:themeColor="background1"/>
                                <w:sz w:val="16"/>
                                <w:szCs w:val="16"/>
                                <w:lang w:val="en-US"/>
                              </w:rPr>
                              <w:t xml:space="preserve">Registered office: </w:t>
                            </w:r>
                            <w:r w:rsidRPr="0016120B">
                              <w:rPr>
                                <w:color w:val="FFFFFF" w:themeColor="background1"/>
                                <w:sz w:val="16"/>
                                <w:szCs w:val="16"/>
                              </w:rPr>
                              <w:t>Spring Lodge 172 Chester Road, Helsby, Cheshire, England, WA6 0AR</w:t>
                            </w:r>
                          </w:p>
                          <w:p w14:paraId="3BACE018" w14:textId="330C8105" w:rsidR="0016120B" w:rsidRPr="0016120B" w:rsidRDefault="0016120B" w:rsidP="0016120B">
                            <w:pPr>
                              <w:jc w:val="right"/>
                              <w:rPr>
                                <w:color w:val="FFFFFF" w:themeColor="background1"/>
                                <w:sz w:val="16"/>
                                <w:szCs w:val="16"/>
                              </w:rPr>
                            </w:pPr>
                            <w:r w:rsidRPr="0016120B">
                              <w:rPr>
                                <w:color w:val="FFFFFF" w:themeColor="background1"/>
                                <w:sz w:val="16"/>
                                <w:szCs w:val="16"/>
                                <w:lang w:val="en-US"/>
                              </w:rPr>
                              <w:t xml:space="preserve">Registered in England No: </w:t>
                            </w:r>
                            <w:r w:rsidRPr="0016120B">
                              <w:rPr>
                                <w:color w:val="FFFFFF" w:themeColor="background1"/>
                                <w:sz w:val="16"/>
                                <w:szCs w:val="16"/>
                              </w:rPr>
                              <w:t>02937576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3DD057" id="Text Box 40" o:spid="_x0000_s1028" type="#_x0000_t202" style="position:absolute;margin-left:59.25pt;margin-top:659.85pt;width:424.5pt;height:39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" filled="f" stroked="f" strokeweight=".5pt">
                <v:textbox>
                  <w:txbxContent>
                    <w:p w14:paraId="617C0DE0" w14:textId="77777777" w:rsidR="0016120B" w:rsidRPr="0016120B" w:rsidRDefault="0016120B" w:rsidP="0016120B">
                      <w:pPr>
                        <w:jc w:val="right"/>
                        <w:rPr>
                          <w:b/>
                          <w:bCs/>
                          <w:color w:val="FFFFFF" w:themeColor="background1"/>
                          <w:sz w:val="16"/>
                          <w:szCs w:val="16"/>
                          <w:lang w:val="en-US"/>
                        </w:rPr>
                      </w:pPr>
                      <w:r w:rsidRPr="0016120B">
                        <w:rPr>
                          <w:color w:val="FFFFFF" w:themeColor="background1"/>
                          <w:sz w:val="16"/>
                          <w:szCs w:val="16"/>
                          <w:lang w:val="en-US"/>
                        </w:rPr>
                        <w:t>Economic Research Services Limited</w:t>
                      </w:r>
                      <w:r w:rsidRPr="0016120B">
                        <w:rPr>
                          <w:b/>
                          <w:bCs/>
                          <w:color w:val="FFFFFF" w:themeColor="background1"/>
                          <w:sz w:val="16"/>
                          <w:szCs w:val="16"/>
                          <w:lang w:val="en-US"/>
                        </w:rPr>
                        <w:t xml:space="preserve"> </w:t>
                      </w:r>
                      <w:r w:rsidRPr="0016120B">
                        <w:rPr>
                          <w:color w:val="FFFFFF" w:themeColor="background1"/>
                          <w:sz w:val="16"/>
                          <w:szCs w:val="16"/>
                          <w:lang w:val="en-US"/>
                        </w:rPr>
                        <w:t>t/a</w:t>
                      </w:r>
                      <w:r w:rsidRPr="0016120B">
                        <w:rPr>
                          <w:b/>
                          <w:bCs/>
                          <w:color w:val="FFFFFF" w:themeColor="background1"/>
                          <w:sz w:val="16"/>
                          <w:szCs w:val="16"/>
                          <w:lang w:val="en-US"/>
                        </w:rPr>
                        <w:t xml:space="preserve"> Fortia Insight</w:t>
                      </w:r>
                    </w:p>
                    <w:p w14:paraId="6F2D2C61" w14:textId="77777777" w:rsidR="0016120B" w:rsidRPr="0016120B" w:rsidRDefault="0016120B" w:rsidP="0016120B">
                      <w:pPr>
                        <w:jc w:val="right"/>
                        <w:rPr>
                          <w:color w:val="FFFFFF" w:themeColor="background1"/>
                          <w:sz w:val="16"/>
                          <w:szCs w:val="16"/>
                          <w:lang w:val="en-US"/>
                        </w:rPr>
                      </w:pPr>
                      <w:r w:rsidRPr="0016120B">
                        <w:rPr>
                          <w:color w:val="FFFFFF" w:themeColor="background1"/>
                          <w:sz w:val="16"/>
                          <w:szCs w:val="16"/>
                          <w:lang w:val="en-US"/>
                        </w:rPr>
                        <w:t xml:space="preserve">Registered office: </w:t>
                      </w:r>
                      <w:r w:rsidRPr="0016120B">
                        <w:rPr>
                          <w:color w:val="FFFFFF" w:themeColor="background1"/>
                          <w:sz w:val="16"/>
                          <w:szCs w:val="16"/>
                        </w:rPr>
                        <w:t>Spring Lodge 172 Chester Road, Helsby, Cheshire, England, WA6 0AR</w:t>
                      </w:r>
                    </w:p>
                    <w:p w14:paraId="3BACE018" w14:textId="330C8105" w:rsidR="0016120B" w:rsidRPr="0016120B" w:rsidRDefault="0016120B" w:rsidP="0016120B">
                      <w:pPr>
                        <w:jc w:val="right"/>
                        <w:rPr>
                          <w:color w:val="FFFFFF" w:themeColor="background1"/>
                          <w:sz w:val="16"/>
                          <w:szCs w:val="16"/>
                        </w:rPr>
                      </w:pPr>
                      <w:r w:rsidRPr="0016120B">
                        <w:rPr>
                          <w:color w:val="FFFFFF" w:themeColor="background1"/>
                          <w:sz w:val="16"/>
                          <w:szCs w:val="16"/>
                          <w:lang w:val="en-US"/>
                        </w:rPr>
                        <w:t xml:space="preserve">Registered in England No: </w:t>
                      </w:r>
                      <w:r w:rsidRPr="0016120B">
                        <w:rPr>
                          <w:color w:val="FFFFFF" w:themeColor="background1"/>
                          <w:sz w:val="16"/>
                          <w:szCs w:val="16"/>
                        </w:rPr>
                        <w:t>02937576</w:t>
                      </w:r>
                    </w:p>
                  </w:txbxContent>
                </v:textbox>
              </v:shape>
            </w:pict>
          </mc:Fallback>
        </mc:AlternateContent>
      </w:r>
      <w:r w:rsidR="00F207DA" w:rsidRPr="00E13A70">
        <w:rPr>
          <w:rStyle w:val="Heading3Char"/>
          <w:noProof/>
          <w:color w:val="000000" w:themeColor="text1"/>
          <w:szCs w:val="16"/>
        </w:rPr>
        <mc:AlternateContent>
          <mc:Choice Requires="wps">
            <w:drawing>
              <wp:anchor distT="45720" distB="45720" distL="114300" distR="114300" simplePos="0" relativeHeight="251658247" behindDoc="0" locked="0" layoutInCell="1" allowOverlap="1" wp14:anchorId="436F1B1E" wp14:editId="283004C5">
                <wp:simplePos x="0" y="0"/>
                <wp:positionH relativeFrom="column">
                  <wp:posOffset>3771900</wp:posOffset>
                </wp:positionH>
                <wp:positionV relativeFrom="paragraph">
                  <wp:posOffset>8061260</wp:posOffset>
                </wp:positionV>
                <wp:extent cx="3714750" cy="342900"/>
                <wp:effectExtent l="0" t="0" r="0" b="0"/>
                <wp:wrapNone/>
                <wp:docPr id="4148971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0" cy="342900"/>
                        </a:xfrm>
                        <a:prstGeom prst="rect">
                          <a:avLst/>
                        </a:prstGeom>
                        <a:noFill/>
                        <a:ln w="9525">
                          <a:noFill/>
                          <a:miter lim="800000"/>
                          <a:headEnd/>
                          <a:tailEnd/>
                        </a:ln>
                      </wps:spPr>
                      <wps:txbx>
                        <w:txbxContent>
                          <w:p w14:paraId="7FB70906" w14:textId="77777777" w:rsidR="00F207DA" w:rsidRDefault="00F207DA" w:rsidP="00F207DA">
                            <w:pPr>
                              <w:pStyle w:val="Coverfooter"/>
                              <w:spacing w:after="120"/>
                              <w:jc w:val="left"/>
                              <w:rPr>
                                <w:b/>
                                <w:bCs/>
                                <w:color w:val="FFFFFF" w:themeColor="background1"/>
                                <w:sz w:val="32"/>
                                <w:szCs w:val="32"/>
                              </w:rPr>
                            </w:pPr>
                            <w:r w:rsidRPr="00F207DA">
                              <w:rPr>
                                <w:b/>
                                <w:bCs/>
                                <w:color w:val="FFFFFF" w:themeColor="background1"/>
                                <w:sz w:val="32"/>
                                <w:szCs w:val="32"/>
                              </w:rPr>
                              <w:t>www.fortiainsight.com</w:t>
                            </w:r>
                          </w:p>
                          <w:p w14:paraId="34BA23E5" w14:textId="77777777" w:rsidR="0016120B" w:rsidRPr="00F207DA" w:rsidRDefault="0016120B" w:rsidP="00F207DA">
                            <w:pPr>
                              <w:pStyle w:val="Coverfooter"/>
                              <w:spacing w:after="120"/>
                              <w:jc w:val="left"/>
                              <w:rPr>
                                <w:b/>
                                <w:bCs/>
                                <w:color w:val="FFFFFF" w:themeColor="background1"/>
                                <w:sz w:val="32"/>
                                <w:szCs w:val="32"/>
                              </w:rPr>
                            </w:pPr>
                          </w:p>
                          <w:p w14:paraId="2BE22683" w14:textId="77777777" w:rsidR="00F207DA" w:rsidRPr="00F207DA" w:rsidRDefault="00F207DA" w:rsidP="00F207DA">
                            <w:pPr>
                              <w:rPr>
                                <w:b/>
                                <w:bCs/>
                                <w:color w:val="FFFFFF" w:themeColor="background1"/>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6F1B1E" id="_x0000_s1029" type="#_x0000_t202" style="position:absolute;margin-left:297pt;margin-top:634.75pt;width:292.5pt;height:27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" filled="f" stroked="f">
                <v:textbox>
                  <w:txbxContent>
                    <w:p w14:paraId="7FB70906" w14:textId="77777777" w:rsidR="00F207DA" w:rsidRDefault="00F207DA" w:rsidP="00F207DA">
                      <w:pPr>
                        <w:pStyle w:val="Coverfooter"/>
                        <w:spacing w:after="120"/>
                        <w:jc w:val="left"/>
                        <w:rPr>
                          <w:b/>
                          <w:bCs/>
                          <w:color w:val="FFFFFF" w:themeColor="background1"/>
                          <w:sz w:val="32"/>
                          <w:szCs w:val="32"/>
                        </w:rPr>
                      </w:pPr>
                      <w:r w:rsidRPr="00F207DA">
                        <w:rPr>
                          <w:b/>
                          <w:bCs/>
                          <w:color w:val="FFFFFF" w:themeColor="background1"/>
                          <w:sz w:val="32"/>
                          <w:szCs w:val="32"/>
                        </w:rPr>
                        <w:t>www.fortiainsight.com</w:t>
                      </w:r>
                    </w:p>
                    <w:p w14:paraId="34BA23E5" w14:textId="77777777" w:rsidR="0016120B" w:rsidRPr="00F207DA" w:rsidRDefault="0016120B" w:rsidP="00F207DA">
                      <w:pPr>
                        <w:pStyle w:val="Coverfooter"/>
                        <w:spacing w:after="120"/>
                        <w:jc w:val="left"/>
                        <w:rPr>
                          <w:b/>
                          <w:bCs/>
                          <w:color w:val="FFFFFF" w:themeColor="background1"/>
                          <w:sz w:val="32"/>
                          <w:szCs w:val="32"/>
                        </w:rPr>
                      </w:pPr>
                    </w:p>
                    <w:p w14:paraId="2BE22683" w14:textId="77777777" w:rsidR="00F207DA" w:rsidRPr="00F207DA" w:rsidRDefault="00F207DA" w:rsidP="00F207DA">
                      <w:pPr>
                        <w:rPr>
                          <w:b/>
                          <w:bCs/>
                          <w:color w:val="FFFFFF" w:themeColor="background1"/>
                          <w:sz w:val="28"/>
                          <w:szCs w:val="28"/>
                        </w:rPr>
                      </w:pPr>
                    </w:p>
                  </w:txbxContent>
                </v:textbox>
              </v:shape>
            </w:pict>
          </mc:Fallback>
        </mc:AlternateContent>
      </w:r>
    </w:p>
    <w:sectPr w:rsidR="00E034CC" w:rsidRPr="00E034CC" w:rsidSect="00053EF5">
      <w:headerReference w:type="default" r:id="rId20"/>
      <w:footerReference w:type="default" r:id="rId21"/>
      <w:pgSz w:w="11906" w:h="16838" w:code="9"/>
      <w:pgMar w:top="1728" w:right="1440" w:bottom="1440" w:left="1440" w:header="720" w:footer="6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C5B79" w14:textId="77777777" w:rsidR="00F81BA3" w:rsidRDefault="00F81BA3">
      <w:r>
        <w:separator/>
      </w:r>
    </w:p>
    <w:p w14:paraId="204E1331" w14:textId="77777777" w:rsidR="00F81BA3" w:rsidRDefault="00F81BA3"/>
  </w:endnote>
  <w:endnote w:type="continuationSeparator" w:id="0">
    <w:p w14:paraId="1A15F6CD" w14:textId="77777777" w:rsidR="00F81BA3" w:rsidRDefault="00F81BA3">
      <w:r>
        <w:continuationSeparator/>
      </w:r>
    </w:p>
    <w:p w14:paraId="57A9E85E" w14:textId="77777777" w:rsidR="00F81BA3" w:rsidRDefault="00F81BA3"/>
  </w:endnote>
  <w:endnote w:type="continuationNotice" w:id="1">
    <w:p w14:paraId="53357346" w14:textId="77777777" w:rsidR="00F81BA3" w:rsidRDefault="00F81B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old">
    <w:altName w:val="Arial"/>
    <w:panose1 w:val="020B0704020202020204"/>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sig w:usb0="00000000"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9E19B" w14:textId="77777777" w:rsidR="00D65A49" w:rsidRDefault="005029F5">
    <w:pPr>
      <w:pStyle w:val="Footer"/>
      <w:framePr w:wrap="around" w:vAnchor="text" w:hAnchor="margin" w:xAlign="right" w:y="1"/>
      <w:rPr>
        <w:rStyle w:val="PageNumber"/>
      </w:rPr>
    </w:pPr>
    <w:r>
      <w:rPr>
        <w:rStyle w:val="PageNumber"/>
      </w:rPr>
      <w:fldChar w:fldCharType="begin"/>
    </w:r>
    <w:r w:rsidR="00D65A49">
      <w:rPr>
        <w:rStyle w:val="PageNumber"/>
      </w:rPr>
      <w:instrText xml:space="preserve">PAGE  </w:instrText>
    </w:r>
    <w:r>
      <w:rPr>
        <w:rStyle w:val="PageNumber"/>
      </w:rPr>
      <w:fldChar w:fldCharType="end"/>
    </w:r>
  </w:p>
  <w:p w14:paraId="2FB0E468" w14:textId="77777777" w:rsidR="00D65A49" w:rsidRDefault="00D65A4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C1F9C" w14:textId="77777777" w:rsidR="00D65A49" w:rsidRDefault="00C65AD5">
    <w:pPr>
      <w:pStyle w:val="Coverfootertext"/>
    </w:pPr>
    <w:r>
      <w:rPr>
        <w:noProof/>
        <w:sz w:val="20"/>
        <w:lang w:eastAsia="en-GB"/>
      </w:rPr>
      <w:drawing>
        <wp:anchor distT="0" distB="0" distL="114300" distR="114300" simplePos="0" relativeHeight="251658240" behindDoc="0" locked="0" layoutInCell="1" allowOverlap="1" wp14:anchorId="13DF9CFC" wp14:editId="04962B1E">
          <wp:simplePos x="0" y="0"/>
          <wp:positionH relativeFrom="column">
            <wp:posOffset>5058410</wp:posOffset>
          </wp:positionH>
          <wp:positionV relativeFrom="paragraph">
            <wp:posOffset>-274955</wp:posOffset>
          </wp:positionV>
          <wp:extent cx="1466850" cy="541655"/>
          <wp:effectExtent l="19050" t="0" r="0" b="0"/>
          <wp:wrapNone/>
          <wp:docPr id="769547585" name="Picture 769547585" descr="RSK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SK_logo_rgb"/>
                  <pic:cNvPicPr>
                    <a:picLocks noChangeAspect="1" noChangeArrowheads="1"/>
                  </pic:cNvPicPr>
                </pic:nvPicPr>
                <pic:blipFill>
                  <a:blip r:embed="rId1"/>
                  <a:srcRect/>
                  <a:stretch>
                    <a:fillRect/>
                  </a:stretch>
                </pic:blipFill>
                <pic:spPr bwMode="auto">
                  <a:xfrm>
                    <a:off x="0" y="0"/>
                    <a:ext cx="1466850" cy="541655"/>
                  </a:xfrm>
                  <a:prstGeom prst="rect">
                    <a:avLst/>
                  </a:prstGeom>
                  <a:noFill/>
                  <a:ln w="9525">
                    <a:noFill/>
                    <a:miter lim="800000"/>
                    <a:headEnd/>
                    <a:tailEnd/>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3B9CF" w14:textId="052DBC22" w:rsidR="000125C0" w:rsidRPr="000125C0" w:rsidRDefault="000144F2" w:rsidP="000125C0">
    <w:pPr>
      <w:pStyle w:val="Footer"/>
    </w:pPr>
    <w:r>
      <w:rPr>
        <w:noProof/>
      </w:rPr>
      <mc:AlternateContent>
        <mc:Choice Requires="wps">
          <w:drawing>
            <wp:anchor distT="45720" distB="45720" distL="114300" distR="114300" simplePos="0" relativeHeight="251658241" behindDoc="0" locked="0" layoutInCell="1" allowOverlap="1" wp14:anchorId="1AF98AFA" wp14:editId="469705B2">
              <wp:simplePos x="0" y="0"/>
              <wp:positionH relativeFrom="column">
                <wp:posOffset>4011295</wp:posOffset>
              </wp:positionH>
              <wp:positionV relativeFrom="paragraph">
                <wp:posOffset>-194098</wp:posOffset>
              </wp:positionV>
              <wp:extent cx="2360930" cy="1404620"/>
              <wp:effectExtent l="0" t="0" r="0" b="1270"/>
              <wp:wrapSquare wrapText="bothSides"/>
              <wp:docPr id="19215930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75594B3F" w14:textId="39AB41EE" w:rsidR="008B4896" w:rsidRPr="002C0C3A" w:rsidRDefault="005407E4" w:rsidP="008B4896">
                          <w:pPr>
                            <w:pStyle w:val="Coverfooter"/>
                            <w:rPr>
                              <w:lang w:val="en-US"/>
                            </w:rPr>
                          </w:pPr>
                          <w:r>
                            <w:rPr>
                              <w:lang w:val="en-US"/>
                            </w:rPr>
                            <w:t>DATE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AF98AFA" id="_x0000_t202" coordsize="21600,21600" o:spt="202" path="m,l,21600r21600,l21600,xe">
              <v:stroke joinstyle="miter"/>
              <v:path gradientshapeok="t" o:connecttype="rect"/>
            </v:shapetype>
            <v:shape id="_x0000_s1030" type="#_x0000_t202" style="position:absolute;margin-left:315.85pt;margin-top:-15.3pt;width:185.9pt;height:110.6pt;z-index:251658241;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" filled="f" stroked="f">
              <v:textbox style="mso-fit-shape-to-text:t">
                <w:txbxContent>
                  <w:p w14:paraId="75594B3F" w14:textId="39AB41EE" w:rsidR="008B4896" w:rsidRPr="002C0C3A" w:rsidRDefault="005407E4" w:rsidP="008B4896">
                    <w:pPr>
                      <w:pStyle w:val="Coverfooter"/>
                      <w:rPr>
                        <w:lang w:val="en-US"/>
                      </w:rPr>
                    </w:pPr>
                    <w:r>
                      <w:rPr>
                        <w:lang w:val="en-US"/>
                      </w:rPr>
                      <w:t>DATE</w:t>
                    </w:r>
                  </w:p>
                </w:txbxContent>
              </v:textbox>
              <w10:wrap type="squar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ADFE4" w14:textId="4E407B3A" w:rsidR="00C91BAE" w:rsidRDefault="00C91BAE" w:rsidP="00C91BAE">
    <w:pPr>
      <w:pStyle w:val="Footer"/>
      <w:ind w:left="-426"/>
      <w:rPr>
        <w:rStyle w:val="PageNumber"/>
      </w:rPr>
    </w:pPr>
  </w:p>
  <w:p w14:paraId="018C0A72" w14:textId="77777777" w:rsidR="00AC0230" w:rsidRPr="00053EF5" w:rsidRDefault="00AC0230" w:rsidP="00C91BAE">
    <w:pPr>
      <w:pStyle w:val="Footer"/>
      <w:tabs>
        <w:tab w:val="clear" w:pos="8392"/>
        <w:tab w:val="right" w:pos="9000"/>
      </w:tabs>
      <w:ind w:left="-426"/>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C2DB5" w14:textId="77777777" w:rsidR="00F81BA3" w:rsidRDefault="00F81BA3">
      <w:r>
        <w:separator/>
      </w:r>
    </w:p>
    <w:p w14:paraId="55127356" w14:textId="77777777" w:rsidR="00F81BA3" w:rsidRDefault="00F81BA3"/>
  </w:footnote>
  <w:footnote w:type="continuationSeparator" w:id="0">
    <w:p w14:paraId="7DCC606F" w14:textId="77777777" w:rsidR="00F81BA3" w:rsidRDefault="00F81BA3">
      <w:r>
        <w:continuationSeparator/>
      </w:r>
    </w:p>
    <w:p w14:paraId="249C812E" w14:textId="77777777" w:rsidR="00F81BA3" w:rsidRDefault="00F81BA3"/>
  </w:footnote>
  <w:footnote w:type="continuationNotice" w:id="1">
    <w:p w14:paraId="65DD21B5" w14:textId="77777777" w:rsidR="00F81BA3" w:rsidRDefault="00F81BA3"/>
  </w:footnote>
  <w:footnote w:id="2">
    <w:p w14:paraId="109B5D5D" w14:textId="77777777" w:rsidR="00866FF6" w:rsidRDefault="00866FF6" w:rsidP="00866FF6">
      <w:pPr>
        <w:pBdr>
          <w:top w:val="nil"/>
          <w:left w:val="nil"/>
          <w:bottom w:val="nil"/>
          <w:right w:val="nil"/>
          <w:between w:val="nil"/>
        </w:pBdr>
        <w:rPr>
          <w:sz w:val="16"/>
          <w:szCs w:val="16"/>
        </w:rPr>
      </w:pPr>
      <w:r>
        <w:rPr>
          <w:rStyle w:val="FootnoteReference"/>
        </w:rPr>
        <w:footnoteRef/>
      </w:r>
      <w:r>
        <w:rPr>
          <w:sz w:val="16"/>
          <w:szCs w:val="16"/>
        </w:rPr>
        <w:t xml:space="preserve"> Open access youth services are activities that YP can attend without the need for referrals or prior registration. These activities are designed to be free from barriers to access.</w:t>
      </w:r>
    </w:p>
  </w:footnote>
  <w:footnote w:id="3">
    <w:p w14:paraId="335964B2" w14:textId="77777777" w:rsidR="00866FF6" w:rsidRDefault="00866FF6" w:rsidP="00866FF6">
      <w:pPr>
        <w:pBdr>
          <w:top w:val="nil"/>
          <w:left w:val="nil"/>
          <w:bottom w:val="nil"/>
          <w:right w:val="nil"/>
          <w:between w:val="nil"/>
        </w:pBdr>
        <w:rPr>
          <w:sz w:val="16"/>
          <w:szCs w:val="16"/>
        </w:rPr>
      </w:pPr>
      <w:r>
        <w:rPr>
          <w:rStyle w:val="FootnoteReference"/>
        </w:rPr>
        <w:footnoteRef/>
      </w:r>
      <w:r>
        <w:rPr>
          <w:sz w:val="16"/>
          <w:szCs w:val="16"/>
        </w:rPr>
        <w:t xml:space="preserve"> See for instance Home Office (2023): Anti-social behaviour: impacts on individuals and local communities. Available online: </w:t>
      </w:r>
      <w:hyperlink r:id="rId1" w:anchor="wider-impacts-beyond-the-individual">
        <w:r>
          <w:rPr>
            <w:color w:val="33AFE4"/>
            <w:sz w:val="16"/>
            <w:szCs w:val="16"/>
            <w:u w:val="single"/>
          </w:rPr>
          <w:t>https://www.gov.uk/government/publications/impacts-of-anti-social-behaviour-on-individuals-and-communities/anti-social-behaviour-impacts-on-individuals-and-local-communities#wider-impacts-beyond-the-individual</w:t>
        </w:r>
      </w:hyperlink>
      <w:r>
        <w:rPr>
          <w:sz w:val="16"/>
          <w:szCs w:val="16"/>
        </w:rPr>
        <w:t xml:space="preserve"> (accessed 22 January 2025).</w:t>
      </w:r>
    </w:p>
  </w:footnote>
  <w:footnote w:id="4">
    <w:p w14:paraId="0778C514" w14:textId="77777777" w:rsidR="00866FF6" w:rsidRPr="005873F5" w:rsidRDefault="00866FF6" w:rsidP="00866FF6">
      <w:pPr>
        <w:pStyle w:val="FootnoteText"/>
      </w:pPr>
      <w:r>
        <w:rPr>
          <w:rStyle w:val="FootnoteReference"/>
        </w:rPr>
        <w:footnoteRef/>
      </w:r>
      <w:r>
        <w:t xml:space="preserve"> DCMS and The National Lottery Community Fund also commissioned Fortia Insight, together with LU and the Education Policy Institute (EPI), to conduct an impact evaluation of phase 3 of the MHF.</w:t>
      </w:r>
    </w:p>
  </w:footnote>
  <w:footnote w:id="5">
    <w:p w14:paraId="3F2D3D86" w14:textId="77777777" w:rsidR="00866FF6" w:rsidRDefault="00866FF6" w:rsidP="00866FF6">
      <w:pPr>
        <w:pBdr>
          <w:top w:val="nil"/>
          <w:left w:val="nil"/>
          <w:bottom w:val="nil"/>
          <w:right w:val="nil"/>
          <w:between w:val="nil"/>
        </w:pBdr>
        <w:rPr>
          <w:sz w:val="16"/>
          <w:szCs w:val="16"/>
        </w:rPr>
      </w:pPr>
      <w:r>
        <w:rPr>
          <w:rStyle w:val="FootnoteReference"/>
        </w:rPr>
        <w:footnoteRef/>
      </w:r>
      <w:r>
        <w:rPr>
          <w:sz w:val="16"/>
          <w:szCs w:val="16"/>
        </w:rPr>
        <w:t xml:space="preserve"> See online here: </w:t>
      </w:r>
      <w:hyperlink r:id="rId2">
        <w:r>
          <w:rPr>
            <w:color w:val="33AFE4"/>
            <w:sz w:val="16"/>
            <w:szCs w:val="16"/>
            <w:u w:val="single"/>
          </w:rPr>
          <w:t>https://assets.publishing.service.gov.uk/media/689ca6a7e95097004f723f35/Million_Hours_Fund_Interim_Report_1_FINAL.pdf</w:t>
        </w:r>
      </w:hyperlink>
      <w:r>
        <w:rPr>
          <w:sz w:val="16"/>
          <w:szCs w:val="16"/>
        </w:rPr>
        <w:t xml:space="preserve"> (last accessed 21 October 2025).</w:t>
      </w:r>
    </w:p>
  </w:footnote>
  <w:footnote w:id="6">
    <w:p w14:paraId="734DC14E" w14:textId="77777777" w:rsidR="008B746E" w:rsidRPr="00207018" w:rsidRDefault="008B746E" w:rsidP="008B746E">
      <w:pPr>
        <w:pStyle w:val="FootnoteText"/>
        <w:rPr>
          <w:lang w:val="en-US"/>
        </w:rPr>
      </w:pPr>
      <w:r>
        <w:rPr>
          <w:rStyle w:val="FootnoteReference"/>
        </w:rPr>
        <w:footnoteRef/>
      </w:r>
      <w:r>
        <w:t xml:space="preserve"> </w:t>
      </w:r>
      <w:r w:rsidRPr="002F4B33">
        <w:t>The feasibility of a comparative counterfactual analysis was explored during the inception phase: a comparison group was not identified. Due to the absence of a comparison group, the evaluation cannot make a robust assessment to determine whether the changes (both positive and negative) in any intended outcomes are directly attributable to the MHF programme activities, as opposed to other factors.</w:t>
      </w:r>
    </w:p>
  </w:footnote>
  <w:footnote w:id="7">
    <w:p w14:paraId="28C8D3EA" w14:textId="77777777" w:rsidR="00892B5A" w:rsidRPr="003C67DD" w:rsidRDefault="00892B5A" w:rsidP="00892B5A">
      <w:pPr>
        <w:pStyle w:val="FootnoteText"/>
      </w:pPr>
      <w:r>
        <w:rPr>
          <w:rStyle w:val="FootnoteReference"/>
        </w:rPr>
        <w:footnoteRef/>
      </w:r>
      <w:r>
        <w:t xml:space="preserve"> Based on grantholder survey data. Grantholders could select multiple responses. This means the %-ages do not add up to 100.</w:t>
      </w:r>
    </w:p>
  </w:footnote>
  <w:footnote w:id="8">
    <w:p w14:paraId="3B7675AD" w14:textId="77777777" w:rsidR="00892B5A" w:rsidRPr="00AB3EB4" w:rsidRDefault="00892B5A" w:rsidP="00892B5A">
      <w:pPr>
        <w:pStyle w:val="FootnoteText"/>
        <w:rPr>
          <w:lang w:val="en-US"/>
        </w:rPr>
      </w:pPr>
      <w:r>
        <w:rPr>
          <w:rStyle w:val="FootnoteReference"/>
        </w:rPr>
        <w:footnoteRef/>
      </w:r>
      <w:r>
        <w:t xml:space="preserve"> </w:t>
      </w:r>
      <w:r w:rsidRPr="004D0DB7">
        <w:t xml:space="preserve">The term “at risk” in the survey may have been interpreted broadly by grantholders to include both </w:t>
      </w:r>
      <w:r>
        <w:t>YP</w:t>
      </w:r>
      <w:r w:rsidRPr="004D0DB7">
        <w:t xml:space="preserve"> at risk of perpetrating ASB and those vulnerable to experiencing or being targeted by it. These are distinct concepts, and the development of future data collection tools will refine this definition to ensure clarity of findings.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71AAD" w14:textId="77777777" w:rsidR="00D65A49" w:rsidRDefault="00D65A49">
    <w:pPr>
      <w:pStyle w:val="Header"/>
      <w:tabs>
        <w:tab w:val="right" w:pos="9018"/>
      </w:tabs>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02A48" w14:textId="374AC881" w:rsidR="00B5465D" w:rsidRDefault="00B5465D">
    <w:pPr>
      <w:pStyle w:val="Header"/>
      <w:rPr>
        <w:noProof/>
      </w:rPr>
    </w:pPr>
  </w:p>
  <w:p w14:paraId="5BAF5E49" w14:textId="38E3F4F0" w:rsidR="006212D4" w:rsidRDefault="000A4BA4">
    <w:pPr>
      <w:pStyle w:val="Header"/>
    </w:pPr>
    <w:r w:rsidRPr="000A4BA4">
      <w:rPr>
        <w:noProof/>
      </w:rPr>
      <w:drawing>
        <wp:anchor distT="0" distB="0" distL="114300" distR="114300" simplePos="0" relativeHeight="251658243" behindDoc="0" locked="0" layoutInCell="1" allowOverlap="1" wp14:anchorId="3AEC755E" wp14:editId="6E9B3C1C">
          <wp:simplePos x="0" y="0"/>
          <wp:positionH relativeFrom="column">
            <wp:posOffset>69850</wp:posOffset>
          </wp:positionH>
          <wp:positionV relativeFrom="paragraph">
            <wp:posOffset>859155</wp:posOffset>
          </wp:positionV>
          <wp:extent cx="1809750" cy="602615"/>
          <wp:effectExtent l="0" t="0" r="0" b="6985"/>
          <wp:wrapSquare wrapText="bothSides"/>
          <wp:docPr id="2697863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786398" name=""/>
                  <pic:cNvPicPr/>
                </pic:nvPicPr>
                <pic:blipFill>
                  <a:blip r:embed="rId1">
                    <a:extLst>
                      <a:ext uri="{28A0092B-C50C-407E-A947-70E740481C1C}">
                        <a14:useLocalDpi xmlns:a14="http://schemas.microsoft.com/office/drawing/2010/main" val="0"/>
                      </a:ext>
                    </a:extLst>
                  </a:blip>
                  <a:stretch>
                    <a:fillRect/>
                  </a:stretch>
                </pic:blipFill>
                <pic:spPr>
                  <a:xfrm>
                    <a:off x="0" y="0"/>
                    <a:ext cx="1809750" cy="6026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2" behindDoc="0" locked="0" layoutInCell="1" allowOverlap="1" wp14:anchorId="4EDA32E1" wp14:editId="73962A59">
          <wp:simplePos x="0" y="0"/>
          <wp:positionH relativeFrom="column">
            <wp:posOffset>69850</wp:posOffset>
          </wp:positionH>
          <wp:positionV relativeFrom="paragraph">
            <wp:posOffset>230505</wp:posOffset>
          </wp:positionV>
          <wp:extent cx="2212975" cy="464185"/>
          <wp:effectExtent l="0" t="0" r="0" b="0"/>
          <wp:wrapSquare wrapText="bothSides"/>
          <wp:docPr id="29491193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12975" cy="46418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690C8" w14:textId="4B52F7B9" w:rsidR="0038702B" w:rsidRDefault="0038702B" w:rsidP="00B5465D">
    <w:pPr>
      <w:pStyle w:val="Header"/>
      <w:ind w:right="-755"/>
      <w:jc w:val="right"/>
      <w:rPr>
        <w:rFonts w:cs="Arial"/>
        <w:sz w:val="16"/>
        <w:lang w:val="en-US"/>
      </w:rPr>
    </w:pPr>
  </w:p>
  <w:p w14:paraId="7B2D14A1" w14:textId="167A5B88" w:rsidR="0038702B" w:rsidRPr="008C54D9" w:rsidRDefault="0038702B" w:rsidP="008C54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F5A3F"/>
    <w:multiLevelType w:val="multilevel"/>
    <w:tmpl w:val="0D20C302"/>
    <w:lvl w:ilvl="0">
      <w:start w:val="1"/>
      <w:numFmt w:val="decimal"/>
      <w:pStyle w:val="Heading1"/>
      <w:lvlText w:val="%1"/>
      <w:lvlJc w:val="left"/>
      <w:pPr>
        <w:tabs>
          <w:tab w:val="num" w:pos="360"/>
        </w:tabs>
        <w:ind w:left="0" w:firstLine="0"/>
      </w:pPr>
      <w:rPr>
        <w:rFonts w:ascii="Arial Bold" w:hAnsi="Arial Bold" w:hint="default"/>
        <w:b/>
        <w:i w:val="0"/>
        <w:color w:val="auto"/>
        <w:sz w:val="40"/>
      </w:rPr>
    </w:lvl>
    <w:lvl w:ilvl="1">
      <w:start w:val="1"/>
      <w:numFmt w:val="decimal"/>
      <w:pStyle w:val="Heading2"/>
      <w:lvlText w:val="%1.%2"/>
      <w:lvlJc w:val="left"/>
      <w:pPr>
        <w:tabs>
          <w:tab w:val="num" w:pos="360"/>
        </w:tabs>
        <w:ind w:left="0" w:firstLine="0"/>
      </w:pPr>
      <w:rPr>
        <w:rFonts w:ascii="Arial Bold" w:hAnsi="Arial Bold" w:hint="default"/>
        <w:b/>
        <w:bCs w:val="0"/>
        <w:sz w:val="24"/>
      </w:rPr>
    </w:lvl>
    <w:lvl w:ilvl="2">
      <w:start w:val="1"/>
      <w:numFmt w:val="decimal"/>
      <w:pStyle w:val="Heading3"/>
      <w:lvlText w:val="%1.%2.%3"/>
      <w:lvlJc w:val="left"/>
      <w:pPr>
        <w:tabs>
          <w:tab w:val="num" w:pos="6958"/>
        </w:tabs>
        <w:ind w:left="6238" w:firstLine="0"/>
      </w:pPr>
      <w:rPr>
        <w:rFonts w:ascii="Arial" w:hAnsi="Arial" w:hint="default"/>
        <w:b/>
        <w:bCs/>
        <w:i w:val="0"/>
        <w:color w:val="auto"/>
        <w:sz w:val="20"/>
      </w:rPr>
    </w:lvl>
    <w:lvl w:ilvl="3">
      <w:start w:val="1"/>
      <w:numFmt w:val="decimal"/>
      <w:pStyle w:val="Heading4"/>
      <w:lvlText w:val="%1.%2.%3.%4"/>
      <w:lvlJc w:val="left"/>
      <w:pPr>
        <w:tabs>
          <w:tab w:val="num" w:pos="720"/>
        </w:tabs>
        <w:ind w:left="0" w:firstLine="0"/>
      </w:pPr>
      <w:rPr>
        <w:rFonts w:ascii="Arial" w:hAnsi="Arial" w:hint="default"/>
        <w:b w:val="0"/>
        <w:i/>
        <w:spacing w:val="0"/>
        <w:w w:val="100"/>
        <w:kern w:val="0"/>
        <w:position w:val="0"/>
        <w:sz w:val="20"/>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pStyle w:val="Heading7"/>
      <w:lvlText w:val="%1.%2.%3.%4.%5.%6.%7"/>
      <w:lvlJc w:val="left"/>
      <w:pPr>
        <w:tabs>
          <w:tab w:val="num" w:pos="0"/>
        </w:tabs>
        <w:ind w:left="0" w:firstLine="0"/>
      </w:pPr>
      <w:rPr>
        <w:rFonts w:hint="default"/>
      </w:rPr>
    </w:lvl>
    <w:lvl w:ilvl="7">
      <w:start w:val="1"/>
      <w:numFmt w:val="decimal"/>
      <w:pStyle w:val="Heading8"/>
      <w:lvlText w:val="%1.%2.%3.%4.%5.%6.%7.%8"/>
      <w:lvlJc w:val="left"/>
      <w:pPr>
        <w:tabs>
          <w:tab w:val="num" w:pos="0"/>
        </w:tabs>
        <w:ind w:left="0" w:firstLine="0"/>
      </w:pPr>
      <w:rPr>
        <w:rFonts w:hint="default"/>
      </w:rPr>
    </w:lvl>
    <w:lvl w:ilvl="8">
      <w:numFmt w:val="none"/>
      <w:pStyle w:val="Heading9"/>
      <w:suff w:val="nothing"/>
      <w:lvlText w:val=""/>
      <w:lvlJc w:val="left"/>
      <w:pPr>
        <w:ind w:left="0" w:firstLine="0"/>
      </w:pPr>
      <w:rPr>
        <w:rFonts w:hint="default"/>
      </w:rPr>
    </w:lvl>
  </w:abstractNum>
  <w:abstractNum w:abstractNumId="1" w15:restartNumberingAfterBreak="0">
    <w:nsid w:val="0B671E5F"/>
    <w:multiLevelType w:val="multilevel"/>
    <w:tmpl w:val="D59ECCC2"/>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pStyle w:val="ContactDirect"/>
      <w:lvlText w:val="o"/>
      <w:lvlJc w:val="left"/>
      <w:pPr>
        <w:ind w:left="1080" w:hanging="360"/>
      </w:pPr>
      <w:rPr>
        <w:rFonts w:ascii="Courier New" w:eastAsia="Courier New" w:hAnsi="Courier New" w:cs="Courier New"/>
        <w:sz w:val="20"/>
        <w:szCs w:val="20"/>
      </w:rPr>
    </w:lvl>
    <w:lvl w:ilvl="2">
      <w:start w:val="1"/>
      <w:numFmt w:val="bullet"/>
      <w:pStyle w:val="ContactMobile"/>
      <w:lvlText w:val="▪"/>
      <w:lvlJc w:val="left"/>
      <w:pPr>
        <w:ind w:left="1800" w:hanging="360"/>
      </w:pPr>
      <w:rPr>
        <w:rFonts w:ascii="Noto Sans Symbols" w:eastAsia="Noto Sans Symbols" w:hAnsi="Noto Sans Symbols" w:cs="Noto Sans Symbols"/>
        <w:sz w:val="20"/>
        <w:szCs w:val="20"/>
      </w:rPr>
    </w:lvl>
    <w:lvl w:ilvl="3">
      <w:start w:val="1"/>
      <w:numFmt w:val="bullet"/>
      <w:pStyle w:val="Contacte-mail"/>
      <w:lvlText w:val="▪"/>
      <w:lvlJc w:val="left"/>
      <w:pPr>
        <w:ind w:left="2520" w:hanging="360"/>
      </w:pPr>
      <w:rPr>
        <w:rFonts w:ascii="Noto Sans Symbols" w:eastAsia="Noto Sans Symbols" w:hAnsi="Noto Sans Symbols" w:cs="Noto Sans Symbols"/>
        <w:sz w:val="20"/>
        <w:szCs w:val="20"/>
      </w:rPr>
    </w:lvl>
    <w:lvl w:ilvl="4">
      <w:start w:val="1"/>
      <w:numFmt w:val="bullet"/>
      <w:pStyle w:val="ContactOffice"/>
      <w:lvlText w:val="▪"/>
      <w:lvlJc w:val="left"/>
      <w:pPr>
        <w:ind w:left="3240" w:hanging="360"/>
      </w:pPr>
      <w:rPr>
        <w:rFonts w:ascii="Noto Sans Symbols" w:eastAsia="Noto Sans Symbols" w:hAnsi="Noto Sans Symbols" w:cs="Noto Sans Symbols"/>
        <w:sz w:val="20"/>
        <w:szCs w:val="20"/>
      </w:rPr>
    </w:lvl>
    <w:lvl w:ilvl="5">
      <w:start w:val="1"/>
      <w:numFmt w:val="bullet"/>
      <w:pStyle w:val="ContactDetails"/>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2" w15:restartNumberingAfterBreak="0">
    <w:nsid w:val="165733F4"/>
    <w:multiLevelType w:val="multilevel"/>
    <w:tmpl w:val="ADA63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FD2CE2"/>
    <w:multiLevelType w:val="multilevel"/>
    <w:tmpl w:val="17B25002"/>
    <w:lvl w:ilvl="0">
      <w:start w:val="1"/>
      <w:numFmt w:val="bullet"/>
      <w:pStyle w:val="Disclaimernumbering"/>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4" w15:restartNumberingAfterBreak="0">
    <w:nsid w:val="239835F6"/>
    <w:multiLevelType w:val="multilevel"/>
    <w:tmpl w:val="9D52C9D4"/>
    <w:lvl w:ilvl="0">
      <w:start w:val="1"/>
      <w:numFmt w:val="bullet"/>
      <w:pStyle w:val="List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5" w15:restartNumberingAfterBreak="0">
    <w:nsid w:val="2B715710"/>
    <w:multiLevelType w:val="multilevel"/>
    <w:tmpl w:val="A4583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CB421D"/>
    <w:multiLevelType w:val="multilevel"/>
    <w:tmpl w:val="3B2C6BC2"/>
    <w:lvl w:ilvl="0">
      <w:start w:val="1"/>
      <w:numFmt w:val="bullet"/>
      <w:pStyle w:val="Bullet1nospacing"/>
      <w:lvlText w:val="●"/>
      <w:lvlJc w:val="left"/>
      <w:pPr>
        <w:ind w:left="360" w:hanging="360"/>
      </w:pPr>
      <w:rPr>
        <w:rFonts w:ascii="Noto Sans Symbols" w:eastAsia="Noto Sans Symbols" w:hAnsi="Noto Sans Symbols" w:cs="Noto Sans Symbols"/>
        <w:sz w:val="20"/>
        <w:szCs w:val="20"/>
      </w:rPr>
    </w:lvl>
    <w:lvl w:ilvl="1">
      <w:start w:val="1"/>
      <w:numFmt w:val="bullet"/>
      <w:pStyle w:val="Bullet2nospacing"/>
      <w:lvlText w:val="o"/>
      <w:lvlJc w:val="left"/>
      <w:pPr>
        <w:ind w:left="1080" w:hanging="360"/>
      </w:pPr>
      <w:rPr>
        <w:rFonts w:ascii="Courier New" w:eastAsia="Courier New" w:hAnsi="Courier New" w:cs="Courier New"/>
        <w:sz w:val="20"/>
        <w:szCs w:val="20"/>
      </w:rPr>
    </w:lvl>
    <w:lvl w:ilvl="2">
      <w:start w:val="1"/>
      <w:numFmt w:val="bullet"/>
      <w:pStyle w:val="Bullet3nospacing"/>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7" w15:restartNumberingAfterBreak="0">
    <w:nsid w:val="419A774D"/>
    <w:multiLevelType w:val="multilevel"/>
    <w:tmpl w:val="1728C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BB5A4C"/>
    <w:multiLevelType w:val="hybridMultilevel"/>
    <w:tmpl w:val="CF48AF58"/>
    <w:lvl w:ilvl="0" w:tplc="1BD03BE6">
      <w:start w:val="1"/>
      <w:numFmt w:val="decimal"/>
      <w:pStyle w:val="Tablefigureheadernumbered"/>
      <w:lvlText w:val="1.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99F1145"/>
    <w:multiLevelType w:val="hybridMultilevel"/>
    <w:tmpl w:val="559239E6"/>
    <w:lvl w:ilvl="0" w:tplc="577EE662">
      <w:start w:val="1"/>
      <w:numFmt w:val="bullet"/>
      <w:pStyle w:val="ListParagraph"/>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2C61B5"/>
    <w:multiLevelType w:val="multilevel"/>
    <w:tmpl w:val="6F9424D6"/>
    <w:lvl w:ilvl="0">
      <w:start w:val="1"/>
      <w:numFmt w:val="bullet"/>
      <w:pStyle w:val="ListBullet2"/>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11" w15:restartNumberingAfterBreak="0">
    <w:nsid w:val="4DE22268"/>
    <w:multiLevelType w:val="multilevel"/>
    <w:tmpl w:val="72602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5BE79BE"/>
    <w:multiLevelType w:val="multilevel"/>
    <w:tmpl w:val="82685BA0"/>
    <w:lvl w:ilvl="0">
      <w:start w:val="1"/>
      <w:numFmt w:val="bullet"/>
      <w:lvlText w:val="●"/>
      <w:lvlJc w:val="left"/>
      <w:pPr>
        <w:ind w:left="360" w:hanging="360"/>
      </w:pPr>
      <w:rPr>
        <w:rFonts w:ascii="Noto Sans Symbols" w:eastAsia="Noto Sans Symbols" w:hAnsi="Noto Sans Symbols" w:cs="Noto Sans Symbols"/>
        <w:color w:val="333333"/>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 w15:restartNumberingAfterBreak="0">
    <w:nsid w:val="69360757"/>
    <w:multiLevelType w:val="multilevel"/>
    <w:tmpl w:val="A29EF564"/>
    <w:lvl w:ilvl="0">
      <w:start w:val="1"/>
      <w:numFmt w:val="bullet"/>
      <w:pStyle w:val="Bullets"/>
      <w:lvlText w:val=""/>
      <w:lvlJc w:val="left"/>
      <w:pPr>
        <w:tabs>
          <w:tab w:val="num" w:pos="3905"/>
        </w:tabs>
        <w:ind w:left="3903" w:hanging="358"/>
      </w:pPr>
      <w:rPr>
        <w:rFonts w:ascii="Wingdings" w:hAnsi="Wingdings" w:hint="default"/>
        <w:b w:val="0"/>
        <w:i w:val="0"/>
        <w:color w:val="auto"/>
        <w:sz w:val="12"/>
      </w:rPr>
    </w:lvl>
    <w:lvl w:ilvl="1">
      <w:start w:val="1"/>
      <w:numFmt w:val="bullet"/>
      <w:lvlText w:val=""/>
      <w:lvlJc w:val="left"/>
      <w:pPr>
        <w:tabs>
          <w:tab w:val="num" w:pos="1126"/>
        </w:tabs>
        <w:ind w:left="1123" w:hanging="357"/>
      </w:pPr>
      <w:rPr>
        <w:rFonts w:ascii="Wingdings" w:hAnsi="Wingdings" w:hint="default"/>
        <w:b w:val="0"/>
        <w:i w:val="0"/>
        <w:color w:val="auto"/>
        <w:sz w:val="24"/>
      </w:rPr>
    </w:lvl>
    <w:lvl w:ilvl="2">
      <w:start w:val="1"/>
      <w:numFmt w:val="decimal"/>
      <w:lvlText w:val="%1.%2.%3"/>
      <w:lvlJc w:val="left"/>
      <w:pPr>
        <w:tabs>
          <w:tab w:val="num" w:pos="1429"/>
        </w:tabs>
        <w:ind w:left="1429" w:hanging="1021"/>
      </w:pPr>
      <w:rPr>
        <w:rFonts w:hint="default"/>
        <w:b/>
        <w:i w:val="0"/>
        <w:color w:val="8FC3DE"/>
        <w:sz w:val="24"/>
      </w:rPr>
    </w:lvl>
    <w:lvl w:ilvl="3">
      <w:start w:val="1"/>
      <w:numFmt w:val="decimal"/>
      <w:lvlText w:val="%1.%2.%3.%4"/>
      <w:lvlJc w:val="left"/>
      <w:pPr>
        <w:tabs>
          <w:tab w:val="num" w:pos="1272"/>
        </w:tabs>
        <w:ind w:left="1272" w:hanging="864"/>
      </w:pPr>
      <w:rPr>
        <w:rFonts w:hint="default"/>
      </w:rPr>
    </w:lvl>
    <w:lvl w:ilvl="4">
      <w:start w:val="1"/>
      <w:numFmt w:val="decimal"/>
      <w:lvlText w:val="%1.%2.%3.%4.%5"/>
      <w:lvlJc w:val="left"/>
      <w:pPr>
        <w:tabs>
          <w:tab w:val="num" w:pos="1416"/>
        </w:tabs>
        <w:ind w:left="1416" w:hanging="1008"/>
      </w:pPr>
      <w:rPr>
        <w:rFonts w:hint="default"/>
      </w:rPr>
    </w:lvl>
    <w:lvl w:ilvl="5">
      <w:start w:val="1"/>
      <w:numFmt w:val="decimal"/>
      <w:lvlText w:val="%1.%2.%3.%4.%5.%6"/>
      <w:lvlJc w:val="left"/>
      <w:pPr>
        <w:tabs>
          <w:tab w:val="num" w:pos="1560"/>
        </w:tabs>
        <w:ind w:left="1560" w:hanging="1152"/>
      </w:pPr>
      <w:rPr>
        <w:rFonts w:hint="default"/>
      </w:rPr>
    </w:lvl>
    <w:lvl w:ilvl="6">
      <w:start w:val="1"/>
      <w:numFmt w:val="decimal"/>
      <w:lvlText w:val="%1.%2.%3.%4.%5.%6.%7"/>
      <w:lvlJc w:val="left"/>
      <w:pPr>
        <w:tabs>
          <w:tab w:val="num" w:pos="1704"/>
        </w:tabs>
        <w:ind w:left="1704" w:hanging="1296"/>
      </w:pPr>
      <w:rPr>
        <w:rFonts w:hint="default"/>
      </w:rPr>
    </w:lvl>
    <w:lvl w:ilvl="7">
      <w:start w:val="1"/>
      <w:numFmt w:val="decimal"/>
      <w:lvlText w:val="%1.%2.%3.%4.%5.%6.%7.%8"/>
      <w:lvlJc w:val="left"/>
      <w:pPr>
        <w:tabs>
          <w:tab w:val="num" w:pos="1848"/>
        </w:tabs>
        <w:ind w:left="1848" w:hanging="1440"/>
      </w:pPr>
      <w:rPr>
        <w:rFonts w:hint="default"/>
      </w:rPr>
    </w:lvl>
    <w:lvl w:ilvl="8">
      <w:start w:val="1"/>
      <w:numFmt w:val="decimal"/>
      <w:lvlText w:val="%1.%2.%3.%4.%5.%6.%7.%8.%9"/>
      <w:lvlJc w:val="left"/>
      <w:pPr>
        <w:tabs>
          <w:tab w:val="num" w:pos="1992"/>
        </w:tabs>
        <w:ind w:left="1992" w:hanging="1584"/>
      </w:pPr>
      <w:rPr>
        <w:rFonts w:hint="default"/>
      </w:rPr>
    </w:lvl>
  </w:abstractNum>
  <w:abstractNum w:abstractNumId="14" w15:restartNumberingAfterBreak="0">
    <w:nsid w:val="6BC93B48"/>
    <w:multiLevelType w:val="hybridMultilevel"/>
    <w:tmpl w:val="47A031D2"/>
    <w:lvl w:ilvl="0" w:tplc="280823E6">
      <w:numFmt w:val="decimal"/>
      <w:pStyle w:val="Captionnumbers"/>
      <w:lvlText w:val="1.1.%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4FB1F97"/>
    <w:multiLevelType w:val="hybridMultilevel"/>
    <w:tmpl w:val="38CC6902"/>
    <w:lvl w:ilvl="0" w:tplc="29C8446E">
      <w:start w:val="1"/>
      <w:numFmt w:val="decimal"/>
      <w:pStyle w:val="Bulletsnumbered"/>
      <w:lvlText w:val="%1."/>
      <w:lvlJc w:val="left"/>
      <w:pPr>
        <w:tabs>
          <w:tab w:val="num" w:pos="783"/>
        </w:tabs>
        <w:ind w:left="783" w:hanging="375"/>
      </w:pPr>
      <w:rPr>
        <w:rFonts w:ascii="Arial" w:hAnsi="Arial" w:hint="default"/>
        <w:b w:val="0"/>
        <w:i w:val="0"/>
        <w:sz w:val="20"/>
      </w:rPr>
    </w:lvl>
    <w:lvl w:ilvl="1" w:tplc="04090019" w:tentative="1">
      <w:start w:val="1"/>
      <w:numFmt w:val="lowerLetter"/>
      <w:lvlText w:val="%2."/>
      <w:lvlJc w:val="left"/>
      <w:pPr>
        <w:tabs>
          <w:tab w:val="num" w:pos="-1015"/>
        </w:tabs>
        <w:ind w:left="-1015" w:hanging="360"/>
      </w:pPr>
    </w:lvl>
    <w:lvl w:ilvl="2" w:tplc="0409001B" w:tentative="1">
      <w:start w:val="1"/>
      <w:numFmt w:val="lowerRoman"/>
      <w:lvlText w:val="%3."/>
      <w:lvlJc w:val="right"/>
      <w:pPr>
        <w:tabs>
          <w:tab w:val="num" w:pos="-295"/>
        </w:tabs>
        <w:ind w:left="-295" w:hanging="180"/>
      </w:pPr>
    </w:lvl>
    <w:lvl w:ilvl="3" w:tplc="0409000F" w:tentative="1">
      <w:start w:val="1"/>
      <w:numFmt w:val="decimal"/>
      <w:lvlText w:val="%4."/>
      <w:lvlJc w:val="left"/>
      <w:pPr>
        <w:tabs>
          <w:tab w:val="num" w:pos="425"/>
        </w:tabs>
        <w:ind w:left="425" w:hanging="360"/>
      </w:pPr>
    </w:lvl>
    <w:lvl w:ilvl="4" w:tplc="04090019" w:tentative="1">
      <w:start w:val="1"/>
      <w:numFmt w:val="lowerLetter"/>
      <w:lvlText w:val="%5."/>
      <w:lvlJc w:val="left"/>
      <w:pPr>
        <w:tabs>
          <w:tab w:val="num" w:pos="1145"/>
        </w:tabs>
        <w:ind w:left="1145" w:hanging="360"/>
      </w:pPr>
    </w:lvl>
    <w:lvl w:ilvl="5" w:tplc="0409001B" w:tentative="1">
      <w:start w:val="1"/>
      <w:numFmt w:val="lowerRoman"/>
      <w:lvlText w:val="%6."/>
      <w:lvlJc w:val="right"/>
      <w:pPr>
        <w:tabs>
          <w:tab w:val="num" w:pos="1865"/>
        </w:tabs>
        <w:ind w:left="1865" w:hanging="180"/>
      </w:pPr>
    </w:lvl>
    <w:lvl w:ilvl="6" w:tplc="0409000F" w:tentative="1">
      <w:start w:val="1"/>
      <w:numFmt w:val="decimal"/>
      <w:lvlText w:val="%7."/>
      <w:lvlJc w:val="left"/>
      <w:pPr>
        <w:tabs>
          <w:tab w:val="num" w:pos="2585"/>
        </w:tabs>
        <w:ind w:left="2585" w:hanging="360"/>
      </w:pPr>
    </w:lvl>
    <w:lvl w:ilvl="7" w:tplc="04090019" w:tentative="1">
      <w:start w:val="1"/>
      <w:numFmt w:val="lowerLetter"/>
      <w:lvlText w:val="%8."/>
      <w:lvlJc w:val="left"/>
      <w:pPr>
        <w:tabs>
          <w:tab w:val="num" w:pos="3305"/>
        </w:tabs>
        <w:ind w:left="3305" w:hanging="360"/>
      </w:pPr>
    </w:lvl>
    <w:lvl w:ilvl="8" w:tplc="0409001B" w:tentative="1">
      <w:start w:val="1"/>
      <w:numFmt w:val="lowerRoman"/>
      <w:lvlText w:val="%9."/>
      <w:lvlJc w:val="right"/>
      <w:pPr>
        <w:tabs>
          <w:tab w:val="num" w:pos="4025"/>
        </w:tabs>
        <w:ind w:left="4025" w:hanging="180"/>
      </w:pPr>
    </w:lvl>
  </w:abstractNum>
  <w:num w:numId="1" w16cid:durableId="217055503">
    <w:abstractNumId w:val="0"/>
  </w:num>
  <w:num w:numId="2" w16cid:durableId="258559920">
    <w:abstractNumId w:val="13"/>
  </w:num>
  <w:num w:numId="3" w16cid:durableId="1437407335">
    <w:abstractNumId w:val="15"/>
  </w:num>
  <w:num w:numId="4" w16cid:durableId="1408455454">
    <w:abstractNumId w:val="14"/>
  </w:num>
  <w:num w:numId="5" w16cid:durableId="882407310">
    <w:abstractNumId w:val="8"/>
  </w:num>
  <w:num w:numId="6" w16cid:durableId="702053169">
    <w:abstractNumId w:val="9"/>
  </w:num>
  <w:num w:numId="7" w16cid:durableId="971405196">
    <w:abstractNumId w:val="12"/>
  </w:num>
  <w:num w:numId="8" w16cid:durableId="569273332">
    <w:abstractNumId w:val="10"/>
  </w:num>
  <w:num w:numId="9" w16cid:durableId="1115102139">
    <w:abstractNumId w:val="6"/>
  </w:num>
  <w:num w:numId="10" w16cid:durableId="2129348569">
    <w:abstractNumId w:val="1"/>
  </w:num>
  <w:num w:numId="11" w16cid:durableId="280960280">
    <w:abstractNumId w:val="3"/>
  </w:num>
  <w:num w:numId="12" w16cid:durableId="457603978">
    <w:abstractNumId w:val="4"/>
  </w:num>
  <w:num w:numId="13" w16cid:durableId="411203583">
    <w:abstractNumId w:val="7"/>
  </w:num>
  <w:num w:numId="14" w16cid:durableId="403071162">
    <w:abstractNumId w:val="5"/>
  </w:num>
  <w:num w:numId="15" w16cid:durableId="813066715">
    <w:abstractNumId w:val="11"/>
  </w:num>
  <w:num w:numId="16" w16cid:durableId="1328904053">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en-GB" w:vendorID="64" w:dllVersion="0" w:nlCheck="1" w:checkStyle="0"/>
  <w:activeWritingStyle w:appName="MSWord" w:lang="en-US" w:vendorID="64" w:dllVersion="0" w:nlCheck="1" w:checkStyle="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noPunctuationKerning/>
  <w:characterSpacingControl w:val="doNotCompress"/>
  <w:hdrShapeDefaults>
    <o:shapedefaults v:ext="edit" spidmax="2050" style="mso-position-horizontal-relative:margin" fill="f" fillcolor="white" stroke="f" strokecolor="navy">
      <v:fill color="white" on="f"/>
      <v:stroke color="navy" on="f"/>
      <v:textbox inset="0"/>
      <o:colormru v:ext="edit" colors="#467492,#036,#97be0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102"/>
    <w:rsid w:val="0000540E"/>
    <w:rsid w:val="00005946"/>
    <w:rsid w:val="00005CE5"/>
    <w:rsid w:val="00006218"/>
    <w:rsid w:val="00007965"/>
    <w:rsid w:val="000125C0"/>
    <w:rsid w:val="000144F2"/>
    <w:rsid w:val="00016135"/>
    <w:rsid w:val="00020E50"/>
    <w:rsid w:val="000231DA"/>
    <w:rsid w:val="00032705"/>
    <w:rsid w:val="000355E0"/>
    <w:rsid w:val="00040F1A"/>
    <w:rsid w:val="000417C3"/>
    <w:rsid w:val="00044D7B"/>
    <w:rsid w:val="00050B4D"/>
    <w:rsid w:val="000531C9"/>
    <w:rsid w:val="000535FF"/>
    <w:rsid w:val="00053EF5"/>
    <w:rsid w:val="0005402B"/>
    <w:rsid w:val="00054320"/>
    <w:rsid w:val="00055A7D"/>
    <w:rsid w:val="0005669B"/>
    <w:rsid w:val="000750AA"/>
    <w:rsid w:val="000767AF"/>
    <w:rsid w:val="000775BD"/>
    <w:rsid w:val="00080801"/>
    <w:rsid w:val="00081CD5"/>
    <w:rsid w:val="00084E59"/>
    <w:rsid w:val="00091A3C"/>
    <w:rsid w:val="00096196"/>
    <w:rsid w:val="000A4BA4"/>
    <w:rsid w:val="000B0CF9"/>
    <w:rsid w:val="000B54D7"/>
    <w:rsid w:val="000C0C12"/>
    <w:rsid w:val="000C10F9"/>
    <w:rsid w:val="000C2F97"/>
    <w:rsid w:val="000C33D0"/>
    <w:rsid w:val="000C3851"/>
    <w:rsid w:val="000C6B4C"/>
    <w:rsid w:val="000D3E36"/>
    <w:rsid w:val="000D582F"/>
    <w:rsid w:val="000E2847"/>
    <w:rsid w:val="000E2A96"/>
    <w:rsid w:val="000E65D6"/>
    <w:rsid w:val="000F0595"/>
    <w:rsid w:val="000F1E3D"/>
    <w:rsid w:val="000F4600"/>
    <w:rsid w:val="00105FCB"/>
    <w:rsid w:val="001076E2"/>
    <w:rsid w:val="0011650F"/>
    <w:rsid w:val="00116E51"/>
    <w:rsid w:val="00120F39"/>
    <w:rsid w:val="00133B24"/>
    <w:rsid w:val="001436E3"/>
    <w:rsid w:val="00146C99"/>
    <w:rsid w:val="00147B53"/>
    <w:rsid w:val="00151876"/>
    <w:rsid w:val="00155169"/>
    <w:rsid w:val="0015516F"/>
    <w:rsid w:val="00155762"/>
    <w:rsid w:val="00160FC9"/>
    <w:rsid w:val="0016120B"/>
    <w:rsid w:val="00165697"/>
    <w:rsid w:val="00173796"/>
    <w:rsid w:val="00174772"/>
    <w:rsid w:val="0017739E"/>
    <w:rsid w:val="001773F4"/>
    <w:rsid w:val="00177A9B"/>
    <w:rsid w:val="001803B5"/>
    <w:rsid w:val="00181072"/>
    <w:rsid w:val="00183524"/>
    <w:rsid w:val="00184DE6"/>
    <w:rsid w:val="00185506"/>
    <w:rsid w:val="001855B5"/>
    <w:rsid w:val="00197A31"/>
    <w:rsid w:val="001A07FA"/>
    <w:rsid w:val="001A13C5"/>
    <w:rsid w:val="001A1AFC"/>
    <w:rsid w:val="001A4C8D"/>
    <w:rsid w:val="001A5069"/>
    <w:rsid w:val="001A5E7E"/>
    <w:rsid w:val="001A6943"/>
    <w:rsid w:val="001A6CB6"/>
    <w:rsid w:val="001A70CA"/>
    <w:rsid w:val="001A7BD7"/>
    <w:rsid w:val="001B31FB"/>
    <w:rsid w:val="001B33DE"/>
    <w:rsid w:val="001B4113"/>
    <w:rsid w:val="001B4529"/>
    <w:rsid w:val="001C217F"/>
    <w:rsid w:val="001C252E"/>
    <w:rsid w:val="001C38EF"/>
    <w:rsid w:val="001C7E6D"/>
    <w:rsid w:val="001D4597"/>
    <w:rsid w:val="001D73EC"/>
    <w:rsid w:val="001D7CC8"/>
    <w:rsid w:val="001E1000"/>
    <w:rsid w:val="001E1ADF"/>
    <w:rsid w:val="001E31A5"/>
    <w:rsid w:val="001E36FD"/>
    <w:rsid w:val="001E44AF"/>
    <w:rsid w:val="001E51C7"/>
    <w:rsid w:val="001E776B"/>
    <w:rsid w:val="001F039F"/>
    <w:rsid w:val="001F2542"/>
    <w:rsid w:val="001F5358"/>
    <w:rsid w:val="001F68A7"/>
    <w:rsid w:val="001F6F9B"/>
    <w:rsid w:val="001F7482"/>
    <w:rsid w:val="00203340"/>
    <w:rsid w:val="002047BB"/>
    <w:rsid w:val="0020780A"/>
    <w:rsid w:val="002100C3"/>
    <w:rsid w:val="002171DC"/>
    <w:rsid w:val="00217DB4"/>
    <w:rsid w:val="00222C55"/>
    <w:rsid w:val="00233BF6"/>
    <w:rsid w:val="00240E92"/>
    <w:rsid w:val="00242A25"/>
    <w:rsid w:val="002445C5"/>
    <w:rsid w:val="00247D6F"/>
    <w:rsid w:val="00251FDD"/>
    <w:rsid w:val="002525CA"/>
    <w:rsid w:val="0025305A"/>
    <w:rsid w:val="00255E98"/>
    <w:rsid w:val="00267F7A"/>
    <w:rsid w:val="00270BFD"/>
    <w:rsid w:val="00270FFC"/>
    <w:rsid w:val="00272A42"/>
    <w:rsid w:val="00273E02"/>
    <w:rsid w:val="00277789"/>
    <w:rsid w:val="0028408F"/>
    <w:rsid w:val="00293268"/>
    <w:rsid w:val="00293FB1"/>
    <w:rsid w:val="002949B0"/>
    <w:rsid w:val="002A0BEB"/>
    <w:rsid w:val="002A10AE"/>
    <w:rsid w:val="002A29A2"/>
    <w:rsid w:val="002A4040"/>
    <w:rsid w:val="002A6E03"/>
    <w:rsid w:val="002B02A6"/>
    <w:rsid w:val="002B29BC"/>
    <w:rsid w:val="002B5D4B"/>
    <w:rsid w:val="002B6DF7"/>
    <w:rsid w:val="002C0C3A"/>
    <w:rsid w:val="002C64E4"/>
    <w:rsid w:val="002D3CF6"/>
    <w:rsid w:val="002D5CA9"/>
    <w:rsid w:val="002D78F5"/>
    <w:rsid w:val="002E3248"/>
    <w:rsid w:val="002E33FA"/>
    <w:rsid w:val="002E3E5E"/>
    <w:rsid w:val="002E5FFB"/>
    <w:rsid w:val="002E7118"/>
    <w:rsid w:val="002F6B97"/>
    <w:rsid w:val="002F6E27"/>
    <w:rsid w:val="003015C9"/>
    <w:rsid w:val="003044F5"/>
    <w:rsid w:val="00305FAE"/>
    <w:rsid w:val="00307131"/>
    <w:rsid w:val="00307D64"/>
    <w:rsid w:val="00310734"/>
    <w:rsid w:val="00315981"/>
    <w:rsid w:val="00316DAC"/>
    <w:rsid w:val="00325B1C"/>
    <w:rsid w:val="00326332"/>
    <w:rsid w:val="00335E99"/>
    <w:rsid w:val="00341346"/>
    <w:rsid w:val="00341CE1"/>
    <w:rsid w:val="00343AD6"/>
    <w:rsid w:val="00344D52"/>
    <w:rsid w:val="00345769"/>
    <w:rsid w:val="00347789"/>
    <w:rsid w:val="003516EC"/>
    <w:rsid w:val="00352203"/>
    <w:rsid w:val="003529DD"/>
    <w:rsid w:val="00357B72"/>
    <w:rsid w:val="00360EF6"/>
    <w:rsid w:val="003625A6"/>
    <w:rsid w:val="00362B63"/>
    <w:rsid w:val="003645CD"/>
    <w:rsid w:val="003760FF"/>
    <w:rsid w:val="00376369"/>
    <w:rsid w:val="00380C0B"/>
    <w:rsid w:val="00380D48"/>
    <w:rsid w:val="00382EDD"/>
    <w:rsid w:val="00383C0A"/>
    <w:rsid w:val="00385B48"/>
    <w:rsid w:val="0038702B"/>
    <w:rsid w:val="0039152E"/>
    <w:rsid w:val="00391F55"/>
    <w:rsid w:val="0039661A"/>
    <w:rsid w:val="00396741"/>
    <w:rsid w:val="00397D5D"/>
    <w:rsid w:val="003A337F"/>
    <w:rsid w:val="003A4BD7"/>
    <w:rsid w:val="003A50AA"/>
    <w:rsid w:val="003B497D"/>
    <w:rsid w:val="003B6470"/>
    <w:rsid w:val="003C057C"/>
    <w:rsid w:val="003C301C"/>
    <w:rsid w:val="003C6404"/>
    <w:rsid w:val="003C7780"/>
    <w:rsid w:val="003D0C2B"/>
    <w:rsid w:val="003D121C"/>
    <w:rsid w:val="003D2A1E"/>
    <w:rsid w:val="003D6BF0"/>
    <w:rsid w:val="003E094C"/>
    <w:rsid w:val="003E0A24"/>
    <w:rsid w:val="003E147A"/>
    <w:rsid w:val="003E1AB4"/>
    <w:rsid w:val="003E34F8"/>
    <w:rsid w:val="003E3E8A"/>
    <w:rsid w:val="003F6880"/>
    <w:rsid w:val="004004B7"/>
    <w:rsid w:val="00401D51"/>
    <w:rsid w:val="00405F5E"/>
    <w:rsid w:val="00407475"/>
    <w:rsid w:val="004143E9"/>
    <w:rsid w:val="004148F2"/>
    <w:rsid w:val="00414A92"/>
    <w:rsid w:val="004203A5"/>
    <w:rsid w:val="00420CD4"/>
    <w:rsid w:val="004227A2"/>
    <w:rsid w:val="004249BD"/>
    <w:rsid w:val="004254C6"/>
    <w:rsid w:val="00430F43"/>
    <w:rsid w:val="00432111"/>
    <w:rsid w:val="004327C2"/>
    <w:rsid w:val="0043343D"/>
    <w:rsid w:val="004339E0"/>
    <w:rsid w:val="00434CF3"/>
    <w:rsid w:val="00435492"/>
    <w:rsid w:val="004454D4"/>
    <w:rsid w:val="004506BD"/>
    <w:rsid w:val="00452E50"/>
    <w:rsid w:val="0046070E"/>
    <w:rsid w:val="00461D47"/>
    <w:rsid w:val="00466013"/>
    <w:rsid w:val="00466C3F"/>
    <w:rsid w:val="004760CB"/>
    <w:rsid w:val="00476D5E"/>
    <w:rsid w:val="00477279"/>
    <w:rsid w:val="00480DED"/>
    <w:rsid w:val="00482E80"/>
    <w:rsid w:val="00485C82"/>
    <w:rsid w:val="0048621F"/>
    <w:rsid w:val="0049009D"/>
    <w:rsid w:val="00494123"/>
    <w:rsid w:val="004953F5"/>
    <w:rsid w:val="004B0973"/>
    <w:rsid w:val="004B1903"/>
    <w:rsid w:val="004B208B"/>
    <w:rsid w:val="004B254B"/>
    <w:rsid w:val="004B3807"/>
    <w:rsid w:val="004B6276"/>
    <w:rsid w:val="004B7E8C"/>
    <w:rsid w:val="004C2138"/>
    <w:rsid w:val="004C6661"/>
    <w:rsid w:val="004D1C46"/>
    <w:rsid w:val="004D42F9"/>
    <w:rsid w:val="004D5FFD"/>
    <w:rsid w:val="004D65E6"/>
    <w:rsid w:val="004D78D7"/>
    <w:rsid w:val="004E18AB"/>
    <w:rsid w:val="004E37B7"/>
    <w:rsid w:val="004E6ED8"/>
    <w:rsid w:val="004E7CCC"/>
    <w:rsid w:val="004F423A"/>
    <w:rsid w:val="004F5011"/>
    <w:rsid w:val="004F7651"/>
    <w:rsid w:val="005013E4"/>
    <w:rsid w:val="005014C8"/>
    <w:rsid w:val="005029F5"/>
    <w:rsid w:val="00503079"/>
    <w:rsid w:val="00504417"/>
    <w:rsid w:val="00510B95"/>
    <w:rsid w:val="00516C79"/>
    <w:rsid w:val="00526770"/>
    <w:rsid w:val="00531190"/>
    <w:rsid w:val="005314A8"/>
    <w:rsid w:val="00533492"/>
    <w:rsid w:val="005378BA"/>
    <w:rsid w:val="005407E4"/>
    <w:rsid w:val="00540B20"/>
    <w:rsid w:val="00541581"/>
    <w:rsid w:val="005429ED"/>
    <w:rsid w:val="00543CB5"/>
    <w:rsid w:val="005468A7"/>
    <w:rsid w:val="00557958"/>
    <w:rsid w:val="005606AD"/>
    <w:rsid w:val="005608E4"/>
    <w:rsid w:val="0056443F"/>
    <w:rsid w:val="00571F4D"/>
    <w:rsid w:val="00574868"/>
    <w:rsid w:val="0058577F"/>
    <w:rsid w:val="00587013"/>
    <w:rsid w:val="005929C2"/>
    <w:rsid w:val="00592DEC"/>
    <w:rsid w:val="00593F27"/>
    <w:rsid w:val="005A19A2"/>
    <w:rsid w:val="005A61BA"/>
    <w:rsid w:val="005B04D5"/>
    <w:rsid w:val="005B0C23"/>
    <w:rsid w:val="005B1461"/>
    <w:rsid w:val="005B28BA"/>
    <w:rsid w:val="005B6182"/>
    <w:rsid w:val="005B7BE1"/>
    <w:rsid w:val="005C12CD"/>
    <w:rsid w:val="005C5A25"/>
    <w:rsid w:val="005C6787"/>
    <w:rsid w:val="005C6E88"/>
    <w:rsid w:val="005D0E15"/>
    <w:rsid w:val="005D2238"/>
    <w:rsid w:val="005D2383"/>
    <w:rsid w:val="005D5D39"/>
    <w:rsid w:val="005D6A4C"/>
    <w:rsid w:val="005D6AC8"/>
    <w:rsid w:val="005E6857"/>
    <w:rsid w:val="005F3F0B"/>
    <w:rsid w:val="005F467C"/>
    <w:rsid w:val="005F676A"/>
    <w:rsid w:val="00602006"/>
    <w:rsid w:val="00603121"/>
    <w:rsid w:val="006055A7"/>
    <w:rsid w:val="00611311"/>
    <w:rsid w:val="0061305B"/>
    <w:rsid w:val="006141AF"/>
    <w:rsid w:val="00615798"/>
    <w:rsid w:val="0061730C"/>
    <w:rsid w:val="006212D4"/>
    <w:rsid w:val="00626BA6"/>
    <w:rsid w:val="00627DB3"/>
    <w:rsid w:val="006302D7"/>
    <w:rsid w:val="00636A2E"/>
    <w:rsid w:val="00636EF1"/>
    <w:rsid w:val="00637242"/>
    <w:rsid w:val="00653BA7"/>
    <w:rsid w:val="00661BAA"/>
    <w:rsid w:val="00664966"/>
    <w:rsid w:val="00665BB1"/>
    <w:rsid w:val="00666102"/>
    <w:rsid w:val="00670C63"/>
    <w:rsid w:val="00672D31"/>
    <w:rsid w:val="00673736"/>
    <w:rsid w:val="006756E8"/>
    <w:rsid w:val="00675D48"/>
    <w:rsid w:val="006764BB"/>
    <w:rsid w:val="00677F6F"/>
    <w:rsid w:val="00681F50"/>
    <w:rsid w:val="006827B0"/>
    <w:rsid w:val="00682FC0"/>
    <w:rsid w:val="006853A8"/>
    <w:rsid w:val="00690872"/>
    <w:rsid w:val="00697CB2"/>
    <w:rsid w:val="006A781A"/>
    <w:rsid w:val="006A7DBD"/>
    <w:rsid w:val="006B0606"/>
    <w:rsid w:val="006B476A"/>
    <w:rsid w:val="006B6C75"/>
    <w:rsid w:val="006C253A"/>
    <w:rsid w:val="006C669D"/>
    <w:rsid w:val="006C6EDF"/>
    <w:rsid w:val="006D12A9"/>
    <w:rsid w:val="006D1CC9"/>
    <w:rsid w:val="006D230C"/>
    <w:rsid w:val="006E675A"/>
    <w:rsid w:val="006F12C2"/>
    <w:rsid w:val="006F2055"/>
    <w:rsid w:val="006F4EAC"/>
    <w:rsid w:val="006F747B"/>
    <w:rsid w:val="00704477"/>
    <w:rsid w:val="00704F4B"/>
    <w:rsid w:val="007105CD"/>
    <w:rsid w:val="00711262"/>
    <w:rsid w:val="00711B46"/>
    <w:rsid w:val="0071212F"/>
    <w:rsid w:val="0071314D"/>
    <w:rsid w:val="0071573A"/>
    <w:rsid w:val="00717205"/>
    <w:rsid w:val="00720503"/>
    <w:rsid w:val="007212A5"/>
    <w:rsid w:val="00721A6F"/>
    <w:rsid w:val="0072258C"/>
    <w:rsid w:val="00730995"/>
    <w:rsid w:val="00734E1B"/>
    <w:rsid w:val="00737C96"/>
    <w:rsid w:val="00750430"/>
    <w:rsid w:val="0075622D"/>
    <w:rsid w:val="007562D8"/>
    <w:rsid w:val="00756633"/>
    <w:rsid w:val="00756C16"/>
    <w:rsid w:val="00761649"/>
    <w:rsid w:val="007631A2"/>
    <w:rsid w:val="00763A6D"/>
    <w:rsid w:val="00763F9F"/>
    <w:rsid w:val="0076412C"/>
    <w:rsid w:val="00767FB3"/>
    <w:rsid w:val="00770DC9"/>
    <w:rsid w:val="007725F1"/>
    <w:rsid w:val="00774B40"/>
    <w:rsid w:val="00775019"/>
    <w:rsid w:val="007772D3"/>
    <w:rsid w:val="00780BE1"/>
    <w:rsid w:val="00784976"/>
    <w:rsid w:val="00786A08"/>
    <w:rsid w:val="00787F99"/>
    <w:rsid w:val="00790125"/>
    <w:rsid w:val="00792FA7"/>
    <w:rsid w:val="00795F21"/>
    <w:rsid w:val="007A01E3"/>
    <w:rsid w:val="007A48BF"/>
    <w:rsid w:val="007A79CC"/>
    <w:rsid w:val="007B2B2B"/>
    <w:rsid w:val="007B417F"/>
    <w:rsid w:val="007B77C5"/>
    <w:rsid w:val="007C0C63"/>
    <w:rsid w:val="007C1E1A"/>
    <w:rsid w:val="007C4C53"/>
    <w:rsid w:val="007C66B6"/>
    <w:rsid w:val="007D3C34"/>
    <w:rsid w:val="007D5831"/>
    <w:rsid w:val="007D5CBF"/>
    <w:rsid w:val="007E0355"/>
    <w:rsid w:val="007E2FF8"/>
    <w:rsid w:val="007F308A"/>
    <w:rsid w:val="007F3DCC"/>
    <w:rsid w:val="0080306A"/>
    <w:rsid w:val="0080460B"/>
    <w:rsid w:val="0080489A"/>
    <w:rsid w:val="00807401"/>
    <w:rsid w:val="00812FC5"/>
    <w:rsid w:val="0081620D"/>
    <w:rsid w:val="008162A8"/>
    <w:rsid w:val="008163F0"/>
    <w:rsid w:val="00825506"/>
    <w:rsid w:val="00831708"/>
    <w:rsid w:val="008335AE"/>
    <w:rsid w:val="00837BA7"/>
    <w:rsid w:val="00844732"/>
    <w:rsid w:val="00845676"/>
    <w:rsid w:val="0084591D"/>
    <w:rsid w:val="008462FB"/>
    <w:rsid w:val="0084712A"/>
    <w:rsid w:val="00853F91"/>
    <w:rsid w:val="008571E2"/>
    <w:rsid w:val="008572FE"/>
    <w:rsid w:val="00861072"/>
    <w:rsid w:val="00862D62"/>
    <w:rsid w:val="0086699D"/>
    <w:rsid w:val="00866FF6"/>
    <w:rsid w:val="00867C04"/>
    <w:rsid w:val="00870823"/>
    <w:rsid w:val="008724F6"/>
    <w:rsid w:val="008727FB"/>
    <w:rsid w:val="00877E5A"/>
    <w:rsid w:val="00877FE4"/>
    <w:rsid w:val="00880792"/>
    <w:rsid w:val="00880B06"/>
    <w:rsid w:val="00883313"/>
    <w:rsid w:val="00884DA3"/>
    <w:rsid w:val="0088612A"/>
    <w:rsid w:val="00891AAE"/>
    <w:rsid w:val="00891B6A"/>
    <w:rsid w:val="00892B5A"/>
    <w:rsid w:val="008A0B70"/>
    <w:rsid w:val="008A37BA"/>
    <w:rsid w:val="008A6FB8"/>
    <w:rsid w:val="008B0294"/>
    <w:rsid w:val="008B0E7C"/>
    <w:rsid w:val="008B4340"/>
    <w:rsid w:val="008B4896"/>
    <w:rsid w:val="008B746E"/>
    <w:rsid w:val="008C040D"/>
    <w:rsid w:val="008C4776"/>
    <w:rsid w:val="008C4EAD"/>
    <w:rsid w:val="008C54D9"/>
    <w:rsid w:val="008C5F8B"/>
    <w:rsid w:val="008C7173"/>
    <w:rsid w:val="008C7D73"/>
    <w:rsid w:val="008D2701"/>
    <w:rsid w:val="008D2B82"/>
    <w:rsid w:val="008D5636"/>
    <w:rsid w:val="008E27A9"/>
    <w:rsid w:val="008E6605"/>
    <w:rsid w:val="008E6754"/>
    <w:rsid w:val="008F5403"/>
    <w:rsid w:val="008F65A5"/>
    <w:rsid w:val="008F741B"/>
    <w:rsid w:val="00902087"/>
    <w:rsid w:val="00910A12"/>
    <w:rsid w:val="00915DB1"/>
    <w:rsid w:val="00923ED3"/>
    <w:rsid w:val="00925329"/>
    <w:rsid w:val="00925477"/>
    <w:rsid w:val="00927195"/>
    <w:rsid w:val="0093059E"/>
    <w:rsid w:val="00930C65"/>
    <w:rsid w:val="0093295B"/>
    <w:rsid w:val="0093347B"/>
    <w:rsid w:val="0094016A"/>
    <w:rsid w:val="0094317A"/>
    <w:rsid w:val="00945628"/>
    <w:rsid w:val="00945630"/>
    <w:rsid w:val="00946D2C"/>
    <w:rsid w:val="009471B3"/>
    <w:rsid w:val="00954E7D"/>
    <w:rsid w:val="009565E2"/>
    <w:rsid w:val="0096622C"/>
    <w:rsid w:val="00970ED6"/>
    <w:rsid w:val="00971D50"/>
    <w:rsid w:val="00972719"/>
    <w:rsid w:val="00972C37"/>
    <w:rsid w:val="00975576"/>
    <w:rsid w:val="009758B4"/>
    <w:rsid w:val="009764FA"/>
    <w:rsid w:val="00977CE0"/>
    <w:rsid w:val="00980632"/>
    <w:rsid w:val="00980EF9"/>
    <w:rsid w:val="009905E0"/>
    <w:rsid w:val="00991656"/>
    <w:rsid w:val="0099252F"/>
    <w:rsid w:val="00992ACB"/>
    <w:rsid w:val="00993837"/>
    <w:rsid w:val="00993B75"/>
    <w:rsid w:val="0099449E"/>
    <w:rsid w:val="009956D9"/>
    <w:rsid w:val="00997D9A"/>
    <w:rsid w:val="009A1321"/>
    <w:rsid w:val="009A1561"/>
    <w:rsid w:val="009B080C"/>
    <w:rsid w:val="009B153B"/>
    <w:rsid w:val="009B3C9A"/>
    <w:rsid w:val="009C1059"/>
    <w:rsid w:val="009C3853"/>
    <w:rsid w:val="009C4490"/>
    <w:rsid w:val="009C4A4A"/>
    <w:rsid w:val="009D4385"/>
    <w:rsid w:val="009D7467"/>
    <w:rsid w:val="009D78A6"/>
    <w:rsid w:val="009E0EDC"/>
    <w:rsid w:val="009E1881"/>
    <w:rsid w:val="009E2EDE"/>
    <w:rsid w:val="009E3C0C"/>
    <w:rsid w:val="009E4B29"/>
    <w:rsid w:val="009F1C11"/>
    <w:rsid w:val="009F38FE"/>
    <w:rsid w:val="009F3E32"/>
    <w:rsid w:val="009F536B"/>
    <w:rsid w:val="00A129C9"/>
    <w:rsid w:val="00A15FD8"/>
    <w:rsid w:val="00A263F6"/>
    <w:rsid w:val="00A4118D"/>
    <w:rsid w:val="00A415B7"/>
    <w:rsid w:val="00A41F21"/>
    <w:rsid w:val="00A434A9"/>
    <w:rsid w:val="00A453E4"/>
    <w:rsid w:val="00A47BC8"/>
    <w:rsid w:val="00A55153"/>
    <w:rsid w:val="00A5547B"/>
    <w:rsid w:val="00A55717"/>
    <w:rsid w:val="00A5673A"/>
    <w:rsid w:val="00A6122C"/>
    <w:rsid w:val="00A61BBD"/>
    <w:rsid w:val="00A71345"/>
    <w:rsid w:val="00A74087"/>
    <w:rsid w:val="00A74244"/>
    <w:rsid w:val="00A76AAB"/>
    <w:rsid w:val="00A8024A"/>
    <w:rsid w:val="00A83D81"/>
    <w:rsid w:val="00A90980"/>
    <w:rsid w:val="00A91FCB"/>
    <w:rsid w:val="00A920BE"/>
    <w:rsid w:val="00A92E4C"/>
    <w:rsid w:val="00A93C27"/>
    <w:rsid w:val="00A93D5C"/>
    <w:rsid w:val="00A93ED4"/>
    <w:rsid w:val="00A93F2B"/>
    <w:rsid w:val="00AA0442"/>
    <w:rsid w:val="00AA1221"/>
    <w:rsid w:val="00AA37E4"/>
    <w:rsid w:val="00AA644F"/>
    <w:rsid w:val="00AB2054"/>
    <w:rsid w:val="00AB2A85"/>
    <w:rsid w:val="00AB638A"/>
    <w:rsid w:val="00AB779B"/>
    <w:rsid w:val="00AC0230"/>
    <w:rsid w:val="00AC0991"/>
    <w:rsid w:val="00AC1542"/>
    <w:rsid w:val="00AC1B23"/>
    <w:rsid w:val="00AC1F30"/>
    <w:rsid w:val="00AC26C4"/>
    <w:rsid w:val="00AC27CD"/>
    <w:rsid w:val="00AD601D"/>
    <w:rsid w:val="00AE0FA8"/>
    <w:rsid w:val="00AE4227"/>
    <w:rsid w:val="00AF08D8"/>
    <w:rsid w:val="00AF3B31"/>
    <w:rsid w:val="00AF3CED"/>
    <w:rsid w:val="00AF4E88"/>
    <w:rsid w:val="00B019A9"/>
    <w:rsid w:val="00B029EC"/>
    <w:rsid w:val="00B03248"/>
    <w:rsid w:val="00B114F2"/>
    <w:rsid w:val="00B11A72"/>
    <w:rsid w:val="00B14692"/>
    <w:rsid w:val="00B14BA6"/>
    <w:rsid w:val="00B14E93"/>
    <w:rsid w:val="00B1667A"/>
    <w:rsid w:val="00B2006A"/>
    <w:rsid w:val="00B2240D"/>
    <w:rsid w:val="00B252AB"/>
    <w:rsid w:val="00B33890"/>
    <w:rsid w:val="00B365CA"/>
    <w:rsid w:val="00B37B6F"/>
    <w:rsid w:val="00B42827"/>
    <w:rsid w:val="00B4611D"/>
    <w:rsid w:val="00B46F92"/>
    <w:rsid w:val="00B5296C"/>
    <w:rsid w:val="00B53435"/>
    <w:rsid w:val="00B5465D"/>
    <w:rsid w:val="00B551C8"/>
    <w:rsid w:val="00B5533A"/>
    <w:rsid w:val="00B60068"/>
    <w:rsid w:val="00B60DC4"/>
    <w:rsid w:val="00B61693"/>
    <w:rsid w:val="00B62367"/>
    <w:rsid w:val="00B63B90"/>
    <w:rsid w:val="00B70DAE"/>
    <w:rsid w:val="00B73711"/>
    <w:rsid w:val="00B75CF9"/>
    <w:rsid w:val="00B77F5C"/>
    <w:rsid w:val="00B77FF3"/>
    <w:rsid w:val="00B816EC"/>
    <w:rsid w:val="00B83DC9"/>
    <w:rsid w:val="00B87F40"/>
    <w:rsid w:val="00B908D0"/>
    <w:rsid w:val="00B92416"/>
    <w:rsid w:val="00B929DA"/>
    <w:rsid w:val="00B9457C"/>
    <w:rsid w:val="00B947B4"/>
    <w:rsid w:val="00B96986"/>
    <w:rsid w:val="00BA0A87"/>
    <w:rsid w:val="00BA0FA1"/>
    <w:rsid w:val="00BA722B"/>
    <w:rsid w:val="00BB03BC"/>
    <w:rsid w:val="00BB1C11"/>
    <w:rsid w:val="00BB22BE"/>
    <w:rsid w:val="00BB562F"/>
    <w:rsid w:val="00BB5C7F"/>
    <w:rsid w:val="00BC177A"/>
    <w:rsid w:val="00BC2895"/>
    <w:rsid w:val="00BC6492"/>
    <w:rsid w:val="00BC77D1"/>
    <w:rsid w:val="00BD10AF"/>
    <w:rsid w:val="00BD14D1"/>
    <w:rsid w:val="00BD2631"/>
    <w:rsid w:val="00BE761A"/>
    <w:rsid w:val="00BE7EF9"/>
    <w:rsid w:val="00BF0EF3"/>
    <w:rsid w:val="00BF1A87"/>
    <w:rsid w:val="00BF2B9D"/>
    <w:rsid w:val="00BF44CF"/>
    <w:rsid w:val="00BF47CB"/>
    <w:rsid w:val="00BF4AB7"/>
    <w:rsid w:val="00C01D0D"/>
    <w:rsid w:val="00C04E65"/>
    <w:rsid w:val="00C06016"/>
    <w:rsid w:val="00C065F5"/>
    <w:rsid w:val="00C06759"/>
    <w:rsid w:val="00C07849"/>
    <w:rsid w:val="00C10869"/>
    <w:rsid w:val="00C13519"/>
    <w:rsid w:val="00C13A3F"/>
    <w:rsid w:val="00C1731A"/>
    <w:rsid w:val="00C22905"/>
    <w:rsid w:val="00C2296B"/>
    <w:rsid w:val="00C22C1E"/>
    <w:rsid w:val="00C26EB2"/>
    <w:rsid w:val="00C30BF2"/>
    <w:rsid w:val="00C3111A"/>
    <w:rsid w:val="00C3159F"/>
    <w:rsid w:val="00C3183E"/>
    <w:rsid w:val="00C35F30"/>
    <w:rsid w:val="00C3703D"/>
    <w:rsid w:val="00C4104B"/>
    <w:rsid w:val="00C4122B"/>
    <w:rsid w:val="00C43BCE"/>
    <w:rsid w:val="00C44CFD"/>
    <w:rsid w:val="00C5108F"/>
    <w:rsid w:val="00C5213E"/>
    <w:rsid w:val="00C53316"/>
    <w:rsid w:val="00C53F1D"/>
    <w:rsid w:val="00C56365"/>
    <w:rsid w:val="00C620AD"/>
    <w:rsid w:val="00C63045"/>
    <w:rsid w:val="00C632DE"/>
    <w:rsid w:val="00C65AD5"/>
    <w:rsid w:val="00C66722"/>
    <w:rsid w:val="00C725C2"/>
    <w:rsid w:val="00C739EC"/>
    <w:rsid w:val="00C73ACE"/>
    <w:rsid w:val="00C759AC"/>
    <w:rsid w:val="00C76F2B"/>
    <w:rsid w:val="00C77363"/>
    <w:rsid w:val="00C91425"/>
    <w:rsid w:val="00C91BAE"/>
    <w:rsid w:val="00C94F00"/>
    <w:rsid w:val="00CA38F4"/>
    <w:rsid w:val="00CA398C"/>
    <w:rsid w:val="00CA7A36"/>
    <w:rsid w:val="00CB40D5"/>
    <w:rsid w:val="00CB66D4"/>
    <w:rsid w:val="00CC5488"/>
    <w:rsid w:val="00CD2C71"/>
    <w:rsid w:val="00CD325A"/>
    <w:rsid w:val="00CD3838"/>
    <w:rsid w:val="00CD6A82"/>
    <w:rsid w:val="00CE2AA4"/>
    <w:rsid w:val="00CE6ABC"/>
    <w:rsid w:val="00CE78D2"/>
    <w:rsid w:val="00CF201F"/>
    <w:rsid w:val="00D04637"/>
    <w:rsid w:val="00D04DD7"/>
    <w:rsid w:val="00D067EF"/>
    <w:rsid w:val="00D14B23"/>
    <w:rsid w:val="00D15824"/>
    <w:rsid w:val="00D16127"/>
    <w:rsid w:val="00D16FC7"/>
    <w:rsid w:val="00D20A38"/>
    <w:rsid w:val="00D2210C"/>
    <w:rsid w:val="00D32D78"/>
    <w:rsid w:val="00D32D79"/>
    <w:rsid w:val="00D32F66"/>
    <w:rsid w:val="00D35847"/>
    <w:rsid w:val="00D376EC"/>
    <w:rsid w:val="00D44815"/>
    <w:rsid w:val="00D462BF"/>
    <w:rsid w:val="00D46378"/>
    <w:rsid w:val="00D5045A"/>
    <w:rsid w:val="00D50A1A"/>
    <w:rsid w:val="00D54912"/>
    <w:rsid w:val="00D57844"/>
    <w:rsid w:val="00D64770"/>
    <w:rsid w:val="00D64E52"/>
    <w:rsid w:val="00D65A49"/>
    <w:rsid w:val="00D73318"/>
    <w:rsid w:val="00D825FE"/>
    <w:rsid w:val="00D84C64"/>
    <w:rsid w:val="00D8716A"/>
    <w:rsid w:val="00D91BEA"/>
    <w:rsid w:val="00DA22E5"/>
    <w:rsid w:val="00DA2803"/>
    <w:rsid w:val="00DA687C"/>
    <w:rsid w:val="00DA7B88"/>
    <w:rsid w:val="00DB6845"/>
    <w:rsid w:val="00DC12E1"/>
    <w:rsid w:val="00DC3DA9"/>
    <w:rsid w:val="00DC761E"/>
    <w:rsid w:val="00DD180C"/>
    <w:rsid w:val="00DD2430"/>
    <w:rsid w:val="00DD277C"/>
    <w:rsid w:val="00DE3D42"/>
    <w:rsid w:val="00DE621E"/>
    <w:rsid w:val="00DF5CE2"/>
    <w:rsid w:val="00DF684E"/>
    <w:rsid w:val="00DF6B1E"/>
    <w:rsid w:val="00DF6F83"/>
    <w:rsid w:val="00E02704"/>
    <w:rsid w:val="00E03236"/>
    <w:rsid w:val="00E034CC"/>
    <w:rsid w:val="00E0537B"/>
    <w:rsid w:val="00E1098D"/>
    <w:rsid w:val="00E13A70"/>
    <w:rsid w:val="00E161B2"/>
    <w:rsid w:val="00E17B9D"/>
    <w:rsid w:val="00E20E48"/>
    <w:rsid w:val="00E22912"/>
    <w:rsid w:val="00E261AB"/>
    <w:rsid w:val="00E27B94"/>
    <w:rsid w:val="00E3003C"/>
    <w:rsid w:val="00E3051C"/>
    <w:rsid w:val="00E31DC0"/>
    <w:rsid w:val="00E4024A"/>
    <w:rsid w:val="00E40399"/>
    <w:rsid w:val="00E41961"/>
    <w:rsid w:val="00E520E8"/>
    <w:rsid w:val="00E530F7"/>
    <w:rsid w:val="00E55C79"/>
    <w:rsid w:val="00E60BA6"/>
    <w:rsid w:val="00E612D8"/>
    <w:rsid w:val="00E62704"/>
    <w:rsid w:val="00E64FB5"/>
    <w:rsid w:val="00E65E0D"/>
    <w:rsid w:val="00E67567"/>
    <w:rsid w:val="00E70C26"/>
    <w:rsid w:val="00E82D66"/>
    <w:rsid w:val="00E83D34"/>
    <w:rsid w:val="00E83D89"/>
    <w:rsid w:val="00E84FE2"/>
    <w:rsid w:val="00E86D6F"/>
    <w:rsid w:val="00E94596"/>
    <w:rsid w:val="00EA68E4"/>
    <w:rsid w:val="00EB3457"/>
    <w:rsid w:val="00EB3971"/>
    <w:rsid w:val="00EC044E"/>
    <w:rsid w:val="00EC32A8"/>
    <w:rsid w:val="00EC44EA"/>
    <w:rsid w:val="00EC61DE"/>
    <w:rsid w:val="00EC7217"/>
    <w:rsid w:val="00ED2CC2"/>
    <w:rsid w:val="00ED5046"/>
    <w:rsid w:val="00EE0823"/>
    <w:rsid w:val="00EE31E7"/>
    <w:rsid w:val="00EE45E8"/>
    <w:rsid w:val="00EE7E8F"/>
    <w:rsid w:val="00EF227F"/>
    <w:rsid w:val="00EF5550"/>
    <w:rsid w:val="00EF60EB"/>
    <w:rsid w:val="00F02DFB"/>
    <w:rsid w:val="00F0340F"/>
    <w:rsid w:val="00F035FB"/>
    <w:rsid w:val="00F06564"/>
    <w:rsid w:val="00F07429"/>
    <w:rsid w:val="00F16309"/>
    <w:rsid w:val="00F16710"/>
    <w:rsid w:val="00F207DA"/>
    <w:rsid w:val="00F35286"/>
    <w:rsid w:val="00F412D9"/>
    <w:rsid w:val="00F421EE"/>
    <w:rsid w:val="00F458AF"/>
    <w:rsid w:val="00F47F88"/>
    <w:rsid w:val="00F542D0"/>
    <w:rsid w:val="00F61052"/>
    <w:rsid w:val="00F655C5"/>
    <w:rsid w:val="00F7156E"/>
    <w:rsid w:val="00F71DCC"/>
    <w:rsid w:val="00F72227"/>
    <w:rsid w:val="00F766E3"/>
    <w:rsid w:val="00F76F0B"/>
    <w:rsid w:val="00F8190D"/>
    <w:rsid w:val="00F81BA3"/>
    <w:rsid w:val="00F86EA8"/>
    <w:rsid w:val="00F87080"/>
    <w:rsid w:val="00F875EF"/>
    <w:rsid w:val="00F87C28"/>
    <w:rsid w:val="00F920E8"/>
    <w:rsid w:val="00F93B03"/>
    <w:rsid w:val="00FA17DD"/>
    <w:rsid w:val="00FA4525"/>
    <w:rsid w:val="00FA6602"/>
    <w:rsid w:val="00FA72D3"/>
    <w:rsid w:val="00FB2976"/>
    <w:rsid w:val="00FB4687"/>
    <w:rsid w:val="00FB5F1C"/>
    <w:rsid w:val="00FC119B"/>
    <w:rsid w:val="00FC209C"/>
    <w:rsid w:val="00FC2913"/>
    <w:rsid w:val="00FC7305"/>
    <w:rsid w:val="00FC7676"/>
    <w:rsid w:val="00FD009A"/>
    <w:rsid w:val="00FD66FC"/>
    <w:rsid w:val="00FD7266"/>
    <w:rsid w:val="00FE484C"/>
    <w:rsid w:val="00FF43B1"/>
    <w:rsid w:val="00FF4E1E"/>
    <w:rsid w:val="00FF58B8"/>
    <w:rsid w:val="00FF79E4"/>
    <w:rsid w:val="00FF7F90"/>
    <w:rsid w:val="3473FAE4"/>
    <w:rsid w:val="3CB534D7"/>
    <w:rsid w:val="3EF5DB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margin" fill="f" fillcolor="white" stroke="f" strokecolor="navy">
      <v:fill color="white" on="f"/>
      <v:stroke color="navy" on="f"/>
      <v:textbox inset="0"/>
      <o:colormru v:ext="edit" colors="#467492,#036,#97be0d"/>
    </o:shapedefaults>
    <o:shapelayout v:ext="edit">
      <o:idmap v:ext="edit" data="2"/>
    </o:shapelayout>
  </w:shapeDefaults>
  <w:decimalSymbol w:val="."/>
  <w:listSeparator w:val=","/>
  <w14:docId w14:val="52F037E6"/>
  <w15:docId w15:val="{FE2E8CC4-B29D-41C9-A87F-D92FEFFCC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ide Heading"/>
    <w:rsid w:val="006F747B"/>
    <w:rPr>
      <w:rFonts w:ascii="Arial" w:hAnsi="Arial"/>
      <w:lang w:eastAsia="en-US"/>
    </w:rPr>
  </w:style>
  <w:style w:type="paragraph" w:styleId="Heading1">
    <w:name w:val="heading 1"/>
    <w:basedOn w:val="Normal"/>
    <w:next w:val="Body"/>
    <w:autoRedefine/>
    <w:qFormat/>
    <w:rsid w:val="00CD325A"/>
    <w:pPr>
      <w:keepNext/>
      <w:keepLines/>
      <w:pageBreakBefore/>
      <w:numPr>
        <w:numId w:val="1"/>
      </w:numPr>
      <w:spacing w:before="60" w:after="240"/>
      <w:outlineLvl w:val="0"/>
    </w:pPr>
    <w:rPr>
      <w:b/>
      <w:sz w:val="40"/>
    </w:rPr>
  </w:style>
  <w:style w:type="paragraph" w:styleId="Heading2">
    <w:name w:val="heading 2"/>
    <w:basedOn w:val="Normal"/>
    <w:next w:val="Body"/>
    <w:qFormat/>
    <w:rsid w:val="00EC44EA"/>
    <w:pPr>
      <w:numPr>
        <w:ilvl w:val="1"/>
        <w:numId w:val="1"/>
      </w:numPr>
      <w:tabs>
        <w:tab w:val="left" w:pos="475"/>
      </w:tabs>
      <w:spacing w:after="240"/>
      <w:outlineLvl w:val="1"/>
    </w:pPr>
    <w:rPr>
      <w:b/>
      <w:color w:val="253360" w:themeColor="background2"/>
      <w:sz w:val="24"/>
    </w:rPr>
  </w:style>
  <w:style w:type="paragraph" w:styleId="Heading3">
    <w:name w:val="heading 3"/>
    <w:basedOn w:val="Heading1"/>
    <w:next w:val="Body"/>
    <w:link w:val="Heading3Char"/>
    <w:autoRedefine/>
    <w:qFormat/>
    <w:rsid w:val="004327C2"/>
    <w:pPr>
      <w:pageBreakBefore w:val="0"/>
      <w:numPr>
        <w:ilvl w:val="2"/>
      </w:numPr>
      <w:tabs>
        <w:tab w:val="left" w:pos="567"/>
      </w:tabs>
      <w:spacing w:before="120"/>
      <w:outlineLvl w:val="2"/>
    </w:pPr>
    <w:rPr>
      <w:sz w:val="24"/>
      <w:szCs w:val="24"/>
    </w:rPr>
  </w:style>
  <w:style w:type="paragraph" w:styleId="Heading4">
    <w:name w:val="heading 4"/>
    <w:basedOn w:val="Normal"/>
    <w:next w:val="Body"/>
    <w:qFormat/>
    <w:rsid w:val="00A91FCB"/>
    <w:pPr>
      <w:numPr>
        <w:ilvl w:val="3"/>
        <w:numId w:val="1"/>
      </w:numPr>
      <w:tabs>
        <w:tab w:val="left" w:pos="567"/>
      </w:tabs>
      <w:spacing w:after="120"/>
      <w:outlineLvl w:val="3"/>
    </w:pPr>
    <w:rPr>
      <w:b/>
      <w:color w:val="523E91" w:themeColor="accent4"/>
      <w:sz w:val="22"/>
    </w:rPr>
  </w:style>
  <w:style w:type="paragraph" w:styleId="Heading5">
    <w:name w:val="heading 5"/>
    <w:aliases w:val="Heading 5 - Appendix headers"/>
    <w:basedOn w:val="Normal"/>
    <w:next w:val="Normal"/>
    <w:autoRedefine/>
    <w:qFormat/>
    <w:rsid w:val="00CD325A"/>
    <w:pPr>
      <w:spacing w:after="120"/>
      <w:ind w:left="-426"/>
      <w:outlineLvl w:val="4"/>
    </w:pPr>
    <w:rPr>
      <w:b/>
      <w:color w:val="000000" w:themeColor="text1"/>
      <w:sz w:val="40"/>
    </w:rPr>
  </w:style>
  <w:style w:type="paragraph" w:styleId="Heading6">
    <w:name w:val="heading 6"/>
    <w:aliases w:val="Heading 6 - Subhead"/>
    <w:basedOn w:val="Normal"/>
    <w:next w:val="Normal"/>
    <w:qFormat/>
    <w:rsid w:val="00C759AC"/>
    <w:pPr>
      <w:outlineLvl w:val="5"/>
    </w:pPr>
    <w:rPr>
      <w:b/>
      <w:color w:val="262626" w:themeColor="text1" w:themeTint="D9"/>
      <w:sz w:val="24"/>
    </w:rPr>
  </w:style>
  <w:style w:type="paragraph" w:styleId="Heading7">
    <w:name w:val="heading 7"/>
    <w:basedOn w:val="Normal"/>
    <w:next w:val="Normal"/>
    <w:rsid w:val="006D1CC9"/>
    <w:pPr>
      <w:numPr>
        <w:ilvl w:val="6"/>
        <w:numId w:val="1"/>
      </w:numPr>
      <w:outlineLvl w:val="6"/>
    </w:pPr>
    <w:rPr>
      <w:color w:val="808080" w:themeColor="background1" w:themeShade="80"/>
    </w:rPr>
  </w:style>
  <w:style w:type="paragraph" w:styleId="Heading8">
    <w:name w:val="heading 8"/>
    <w:basedOn w:val="Normal"/>
    <w:next w:val="Normal"/>
    <w:rsid w:val="001F68A7"/>
    <w:pPr>
      <w:numPr>
        <w:ilvl w:val="7"/>
        <w:numId w:val="1"/>
      </w:numPr>
      <w:spacing w:after="120"/>
      <w:outlineLvl w:val="7"/>
    </w:pPr>
    <w:rPr>
      <w:color w:val="523E91" w:themeColor="accent4"/>
    </w:rPr>
  </w:style>
  <w:style w:type="paragraph" w:styleId="Heading9">
    <w:name w:val="heading 9"/>
    <w:basedOn w:val="Normal"/>
    <w:next w:val="Normal"/>
    <w:rsid w:val="005029F5"/>
    <w:pPr>
      <w:numPr>
        <w:ilvl w:val="8"/>
        <w:numId w:val="1"/>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link w:val="BodyChar"/>
    <w:autoRedefine/>
    <w:qFormat/>
    <w:rsid w:val="007C66B6"/>
    <w:pPr>
      <w:suppressAutoHyphens/>
      <w:spacing w:after="60"/>
    </w:pPr>
    <w:rPr>
      <w:sz w:val="22"/>
    </w:rPr>
  </w:style>
  <w:style w:type="paragraph" w:customStyle="1" w:styleId="Greenhighlighttext">
    <w:name w:val="Green highlight text"/>
    <w:basedOn w:val="Normal"/>
    <w:qFormat/>
    <w:rsid w:val="00147B53"/>
    <w:pPr>
      <w:framePr w:wrap="notBeside" w:vAnchor="text" w:hAnchor="text" w:y="1"/>
      <w:shd w:val="pct15" w:color="auto" w:fill="auto"/>
    </w:pPr>
    <w:rPr>
      <w:b/>
      <w:iCs/>
      <w:color w:val="E71D73" w:themeColor="accent1"/>
    </w:rPr>
  </w:style>
  <w:style w:type="paragraph" w:styleId="Caption">
    <w:name w:val="caption"/>
    <w:basedOn w:val="Normal"/>
    <w:next w:val="Normal"/>
    <w:link w:val="CaptionChar"/>
    <w:qFormat/>
    <w:rsid w:val="005029F5"/>
    <w:pPr>
      <w:spacing w:before="120" w:after="120"/>
    </w:pPr>
    <w:rPr>
      <w:bCs/>
      <w:i/>
    </w:rPr>
  </w:style>
  <w:style w:type="paragraph" w:styleId="Header">
    <w:name w:val="header"/>
    <w:basedOn w:val="Normal"/>
    <w:semiHidden/>
    <w:rsid w:val="005029F5"/>
    <w:pPr>
      <w:tabs>
        <w:tab w:val="center" w:pos="4320"/>
        <w:tab w:val="right" w:pos="8640"/>
      </w:tabs>
      <w:spacing w:after="120"/>
    </w:pPr>
    <w:rPr>
      <w:sz w:val="18"/>
    </w:rPr>
  </w:style>
  <w:style w:type="paragraph" w:customStyle="1" w:styleId="Bullets">
    <w:name w:val="Bullets"/>
    <w:basedOn w:val="Body"/>
    <w:link w:val="BulletsChar"/>
    <w:qFormat/>
    <w:rsid w:val="00A76AAB"/>
    <w:pPr>
      <w:numPr>
        <w:numId w:val="2"/>
      </w:numPr>
      <w:spacing w:before="60"/>
      <w:ind w:left="908" w:hanging="454"/>
    </w:pPr>
    <w:rPr>
      <w:rFonts w:cs="Arial"/>
    </w:rPr>
  </w:style>
  <w:style w:type="paragraph" w:customStyle="1" w:styleId="Bulletsnumbered">
    <w:name w:val="Bullets numbered"/>
    <w:basedOn w:val="Body"/>
    <w:qFormat/>
    <w:rsid w:val="005029F5"/>
    <w:pPr>
      <w:numPr>
        <w:numId w:val="3"/>
      </w:numPr>
      <w:spacing w:before="60"/>
    </w:pPr>
  </w:style>
  <w:style w:type="character" w:styleId="EndnoteReference">
    <w:name w:val="endnote reference"/>
    <w:semiHidden/>
    <w:rsid w:val="005029F5"/>
    <w:rPr>
      <w:vertAlign w:val="superscript"/>
    </w:rPr>
  </w:style>
  <w:style w:type="paragraph" w:customStyle="1" w:styleId="Subheadcaps">
    <w:name w:val="Subhead caps"/>
    <w:basedOn w:val="Body"/>
    <w:rsid w:val="005029F5"/>
    <w:pPr>
      <w:spacing w:before="60"/>
    </w:pPr>
    <w:rPr>
      <w:rFonts w:ascii="Arial Bold" w:hAnsi="Arial Bold" w:cs="Arial"/>
      <w:b/>
      <w:caps/>
    </w:rPr>
  </w:style>
  <w:style w:type="character" w:styleId="FollowedHyperlink">
    <w:name w:val="FollowedHyperlink"/>
    <w:semiHidden/>
    <w:rsid w:val="005029F5"/>
    <w:rPr>
      <w:color w:val="800080"/>
      <w:u w:val="single"/>
    </w:rPr>
  </w:style>
  <w:style w:type="paragraph" w:styleId="Footer">
    <w:name w:val="footer"/>
    <w:basedOn w:val="Normal"/>
    <w:link w:val="FooterChar"/>
    <w:uiPriority w:val="99"/>
    <w:rsid w:val="008C54D9"/>
    <w:pPr>
      <w:tabs>
        <w:tab w:val="left" w:pos="8392"/>
      </w:tabs>
      <w:spacing w:before="60"/>
    </w:pPr>
    <w:rPr>
      <w:sz w:val="16"/>
    </w:rPr>
  </w:style>
  <w:style w:type="character" w:styleId="Hyperlink">
    <w:name w:val="Hyperlink"/>
    <w:uiPriority w:val="99"/>
    <w:rsid w:val="005029F5"/>
    <w:rPr>
      <w:color w:val="0000FF"/>
      <w:u w:val="single"/>
    </w:rPr>
  </w:style>
  <w:style w:type="character" w:styleId="PageNumber">
    <w:name w:val="page number"/>
    <w:semiHidden/>
    <w:rsid w:val="005029F5"/>
    <w:rPr>
      <w:rFonts w:ascii="Arial" w:hAnsi="Arial"/>
      <w:color w:val="auto"/>
    </w:rPr>
  </w:style>
  <w:style w:type="paragraph" w:styleId="Title">
    <w:name w:val="Title"/>
    <w:aliases w:val="Main title new"/>
    <w:basedOn w:val="Normal"/>
    <w:link w:val="TitleChar"/>
    <w:autoRedefine/>
    <w:rsid w:val="009D7467"/>
    <w:pPr>
      <w:framePr w:hSpace="180" w:wrap="around" w:vAnchor="page" w:hAnchor="margin" w:y="1521"/>
      <w:spacing w:before="240" w:after="240"/>
      <w:outlineLvl w:val="0"/>
    </w:pPr>
    <w:rPr>
      <w:rFonts w:cs="Arial"/>
      <w:b/>
      <w:color w:val="FFFFFF" w:themeColor="background1"/>
      <w:sz w:val="44"/>
      <w:szCs w:val="24"/>
    </w:rPr>
  </w:style>
  <w:style w:type="paragraph" w:styleId="TOC1">
    <w:name w:val="toc 1"/>
    <w:basedOn w:val="Normal"/>
    <w:next w:val="Normal"/>
    <w:uiPriority w:val="39"/>
    <w:rsid w:val="005029F5"/>
    <w:pPr>
      <w:tabs>
        <w:tab w:val="right" w:leader="dot" w:pos="9360"/>
      </w:tabs>
      <w:suppressAutoHyphens/>
      <w:spacing w:after="60"/>
      <w:ind w:left="357" w:hanging="357"/>
    </w:pPr>
    <w:rPr>
      <w:rFonts w:ascii="Arial Bold" w:hAnsi="Arial Bold"/>
      <w:b/>
      <w:caps/>
    </w:rPr>
  </w:style>
  <w:style w:type="paragraph" w:styleId="TOC2">
    <w:name w:val="toc 2"/>
    <w:basedOn w:val="Normal"/>
    <w:next w:val="Normal"/>
    <w:uiPriority w:val="39"/>
    <w:rsid w:val="005029F5"/>
    <w:pPr>
      <w:tabs>
        <w:tab w:val="left" w:pos="720"/>
        <w:tab w:val="right" w:leader="dot" w:pos="1267"/>
        <w:tab w:val="right" w:leader="dot" w:pos="9360"/>
      </w:tabs>
      <w:suppressAutoHyphens/>
      <w:spacing w:after="60"/>
      <w:ind w:left="1077" w:hanging="720"/>
    </w:pPr>
  </w:style>
  <w:style w:type="paragraph" w:styleId="TOC3">
    <w:name w:val="toc 3"/>
    <w:basedOn w:val="Normal"/>
    <w:next w:val="Normal"/>
    <w:uiPriority w:val="39"/>
    <w:rsid w:val="005029F5"/>
    <w:pPr>
      <w:tabs>
        <w:tab w:val="right" w:leader="dot" w:pos="9360"/>
      </w:tabs>
      <w:suppressAutoHyphens/>
      <w:spacing w:after="60"/>
      <w:ind w:left="1287" w:hanging="567"/>
    </w:pPr>
  </w:style>
  <w:style w:type="paragraph" w:styleId="TOC4">
    <w:name w:val="toc 4"/>
    <w:basedOn w:val="Normal"/>
    <w:next w:val="Normal"/>
    <w:semiHidden/>
    <w:rsid w:val="005029F5"/>
    <w:pPr>
      <w:tabs>
        <w:tab w:val="right" w:leader="dot" w:pos="9360"/>
      </w:tabs>
      <w:suppressAutoHyphens/>
      <w:ind w:left="2880" w:right="720" w:hanging="720"/>
    </w:pPr>
  </w:style>
  <w:style w:type="paragraph" w:styleId="TOC5">
    <w:name w:val="toc 5"/>
    <w:basedOn w:val="Normal"/>
    <w:next w:val="Normal"/>
    <w:semiHidden/>
    <w:rsid w:val="005029F5"/>
    <w:pPr>
      <w:tabs>
        <w:tab w:val="right" w:leader="dot" w:pos="9360"/>
      </w:tabs>
      <w:suppressAutoHyphens/>
      <w:ind w:left="3600" w:right="720" w:hanging="720"/>
    </w:pPr>
  </w:style>
  <w:style w:type="paragraph" w:styleId="TOC6">
    <w:name w:val="toc 6"/>
    <w:basedOn w:val="Normal"/>
    <w:next w:val="Normal"/>
    <w:semiHidden/>
    <w:rsid w:val="005029F5"/>
    <w:pPr>
      <w:tabs>
        <w:tab w:val="right" w:pos="9360"/>
      </w:tabs>
      <w:suppressAutoHyphens/>
      <w:ind w:left="720" w:hanging="720"/>
    </w:pPr>
  </w:style>
  <w:style w:type="paragraph" w:styleId="TOC7">
    <w:name w:val="toc 7"/>
    <w:basedOn w:val="Normal"/>
    <w:next w:val="Normal"/>
    <w:semiHidden/>
    <w:rsid w:val="005029F5"/>
    <w:pPr>
      <w:suppressAutoHyphens/>
      <w:ind w:left="720" w:hanging="720"/>
    </w:pPr>
  </w:style>
  <w:style w:type="paragraph" w:styleId="TOC8">
    <w:name w:val="toc 8"/>
    <w:basedOn w:val="Normal"/>
    <w:next w:val="Normal"/>
    <w:semiHidden/>
    <w:rsid w:val="005029F5"/>
    <w:pPr>
      <w:tabs>
        <w:tab w:val="right" w:pos="9360"/>
      </w:tabs>
      <w:suppressAutoHyphens/>
      <w:ind w:left="720" w:hanging="720"/>
    </w:pPr>
  </w:style>
  <w:style w:type="paragraph" w:styleId="TOC9">
    <w:name w:val="toc 9"/>
    <w:basedOn w:val="Normal"/>
    <w:next w:val="Normal"/>
    <w:semiHidden/>
    <w:rsid w:val="005029F5"/>
    <w:pPr>
      <w:tabs>
        <w:tab w:val="right" w:leader="dot" w:pos="9360"/>
      </w:tabs>
      <w:suppressAutoHyphens/>
      <w:ind w:left="720" w:hanging="720"/>
    </w:pPr>
  </w:style>
  <w:style w:type="paragraph" w:customStyle="1" w:styleId="RSKCoverHeading">
    <w:name w:val="RSK Cover Heading"/>
    <w:basedOn w:val="Normal"/>
    <w:rsid w:val="005029F5"/>
    <w:pPr>
      <w:spacing w:before="100" w:beforeAutospacing="1" w:after="720"/>
      <w:ind w:right="-692"/>
      <w:jc w:val="right"/>
    </w:pPr>
    <w:rPr>
      <w:color w:val="003366"/>
      <w:sz w:val="36"/>
      <w:szCs w:val="24"/>
    </w:rPr>
  </w:style>
  <w:style w:type="paragraph" w:customStyle="1" w:styleId="RSKCoverText">
    <w:name w:val="RSK  Cover Text"/>
    <w:basedOn w:val="RSKCoverHeading"/>
    <w:rsid w:val="005029F5"/>
    <w:rPr>
      <w:rFonts w:cs="Arial"/>
      <w:sz w:val="52"/>
    </w:rPr>
  </w:style>
  <w:style w:type="paragraph" w:customStyle="1" w:styleId="RSKCoverSubheading">
    <w:name w:val="RSK Cover Subheading"/>
    <w:basedOn w:val="Normal"/>
    <w:rsid w:val="005029F5"/>
    <w:pPr>
      <w:spacing w:before="100" w:beforeAutospacing="1" w:after="720"/>
      <w:ind w:right="-692"/>
      <w:jc w:val="right"/>
    </w:pPr>
    <w:rPr>
      <w:rFonts w:cs="Arial"/>
      <w:sz w:val="28"/>
      <w:szCs w:val="24"/>
    </w:rPr>
  </w:style>
  <w:style w:type="paragraph" w:customStyle="1" w:styleId="Generalnotestext">
    <w:name w:val="General notes text"/>
    <w:basedOn w:val="Normal"/>
    <w:qFormat/>
    <w:rsid w:val="005029F5"/>
    <w:pPr>
      <w:spacing w:before="100" w:beforeAutospacing="1" w:after="100" w:afterAutospacing="1"/>
    </w:pPr>
    <w:rPr>
      <w:rFonts w:cs="Arial"/>
      <w:b/>
      <w:bCs/>
    </w:rPr>
  </w:style>
  <w:style w:type="paragraph" w:customStyle="1" w:styleId="Subhead">
    <w:name w:val="Subhead"/>
    <w:basedOn w:val="Body"/>
    <w:qFormat/>
    <w:rsid w:val="005029F5"/>
    <w:pPr>
      <w:spacing w:before="60"/>
    </w:pPr>
    <w:rPr>
      <w:rFonts w:ascii="Arial Bold" w:hAnsi="Arial Bold"/>
      <w:b/>
    </w:rPr>
  </w:style>
  <w:style w:type="paragraph" w:customStyle="1" w:styleId="Tableheader">
    <w:name w:val="Table header"/>
    <w:basedOn w:val="Body"/>
    <w:link w:val="TableheaderChar"/>
    <w:qFormat/>
    <w:rsid w:val="00B908D0"/>
    <w:pPr>
      <w:spacing w:before="60"/>
    </w:pPr>
    <w:rPr>
      <w:rFonts w:ascii="Arial Bold" w:hAnsi="Arial Bold"/>
      <w:b/>
      <w:color w:val="FFFFFF"/>
    </w:rPr>
  </w:style>
  <w:style w:type="paragraph" w:customStyle="1" w:styleId="Tablebodytext">
    <w:name w:val="Table body text"/>
    <w:basedOn w:val="Body"/>
    <w:qFormat/>
    <w:rsid w:val="00B908D0"/>
    <w:pPr>
      <w:spacing w:before="60"/>
    </w:pPr>
  </w:style>
  <w:style w:type="paragraph" w:styleId="FootnoteText">
    <w:name w:val="footnote text"/>
    <w:aliases w:val="FOOTNOTES,Footnote Text Char1,Footnote Text Char Char,Footnote Text Char1 Char Char Char,Footnote Text Char Char Char Char Char,Footnote Text1 Char Char Char,Footnote Text Char1 Char1 Char,Footnote Text Char Char Char1 Char,fn,o,f,Char,ft"/>
    <w:basedOn w:val="Normal"/>
    <w:link w:val="FootnoteTextChar"/>
    <w:uiPriority w:val="99"/>
    <w:qFormat/>
    <w:rsid w:val="005029F5"/>
    <w:pPr>
      <w:spacing w:after="100" w:afterAutospacing="1"/>
    </w:pPr>
    <w:rPr>
      <w:sz w:val="16"/>
    </w:rPr>
  </w:style>
  <w:style w:type="paragraph" w:customStyle="1" w:styleId="Datecover">
    <w:name w:val="Date cover"/>
    <w:basedOn w:val="RSKCoverHeading"/>
    <w:rsid w:val="005029F5"/>
    <w:rPr>
      <w:rFonts w:cs="Arial"/>
      <w:sz w:val="28"/>
    </w:rPr>
  </w:style>
  <w:style w:type="paragraph" w:customStyle="1" w:styleId="Organogram">
    <w:name w:val="Organogram"/>
    <w:basedOn w:val="Normal"/>
    <w:rsid w:val="005029F5"/>
    <w:pPr>
      <w:autoSpaceDE w:val="0"/>
      <w:autoSpaceDN w:val="0"/>
      <w:adjustRightInd w:val="0"/>
      <w:jc w:val="center"/>
    </w:pPr>
    <w:rPr>
      <w:bCs/>
      <w:color w:val="003366"/>
    </w:rPr>
  </w:style>
  <w:style w:type="paragraph" w:customStyle="1" w:styleId="Subsubhead">
    <w:name w:val="Subsubhead"/>
    <w:basedOn w:val="Body"/>
    <w:qFormat/>
    <w:rsid w:val="005029F5"/>
    <w:rPr>
      <w:rFonts w:ascii="Arial Bold" w:hAnsi="Arial Bold"/>
      <w:b/>
      <w:i/>
    </w:rPr>
  </w:style>
  <w:style w:type="character" w:styleId="FootnoteReference">
    <w:name w:val="footnote reference"/>
    <w:aliases w:val="footnote ref,FR,Fußnotenzeichen diss neu,Times 10 Point,Exposant 3 Point,Footnote symbol,Voetnootverwijzing,FR + (Complex) Arial,(Latin) 9 pt,(Complex) 10 pt + (Compl...,Ref,de nota al pie,stylish,ftref,EN Footnote Reference"/>
    <w:link w:val="AppelnotedebasdepageCharCharCharCharCharCharChar"/>
    <w:uiPriority w:val="99"/>
    <w:qFormat/>
    <w:rsid w:val="005029F5"/>
    <w:rPr>
      <w:rFonts w:ascii="Arial" w:hAnsi="Arial"/>
      <w:color w:val="auto"/>
      <w:sz w:val="16"/>
      <w:vertAlign w:val="superscript"/>
    </w:rPr>
  </w:style>
  <w:style w:type="paragraph" w:styleId="EndnoteText">
    <w:name w:val="endnote text"/>
    <w:basedOn w:val="Normal"/>
    <w:semiHidden/>
    <w:rsid w:val="005029F5"/>
    <w:pPr>
      <w:spacing w:before="60" w:after="60"/>
    </w:pPr>
  </w:style>
  <w:style w:type="paragraph" w:customStyle="1" w:styleId="Covertitle">
    <w:name w:val="Cover title"/>
    <w:basedOn w:val="Normal"/>
    <w:rsid w:val="005029F5"/>
    <w:pPr>
      <w:spacing w:after="120"/>
    </w:pPr>
    <w:rPr>
      <w:b/>
      <w:color w:val="808080"/>
      <w:sz w:val="56"/>
    </w:rPr>
  </w:style>
  <w:style w:type="paragraph" w:customStyle="1" w:styleId="Coversubhead">
    <w:name w:val="Cover subhead"/>
    <w:basedOn w:val="Normal"/>
    <w:rsid w:val="005029F5"/>
    <w:pPr>
      <w:spacing w:after="360"/>
    </w:pPr>
    <w:rPr>
      <w:color w:val="808080"/>
      <w:sz w:val="36"/>
    </w:rPr>
  </w:style>
  <w:style w:type="paragraph" w:customStyle="1" w:styleId="Coverfootertext">
    <w:name w:val="Cover footer text"/>
    <w:basedOn w:val="Coversubhead"/>
    <w:rsid w:val="005029F5"/>
    <w:rPr>
      <w:b/>
      <w:caps/>
      <w:color w:val="97BE0D"/>
      <w:sz w:val="26"/>
    </w:rPr>
  </w:style>
  <w:style w:type="character" w:customStyle="1" w:styleId="FooterChar">
    <w:name w:val="Footer Char"/>
    <w:link w:val="Footer"/>
    <w:uiPriority w:val="99"/>
    <w:rsid w:val="008C54D9"/>
    <w:rPr>
      <w:rFonts w:ascii="Arial" w:hAnsi="Arial"/>
      <w:sz w:val="16"/>
      <w:lang w:eastAsia="en-US"/>
    </w:rPr>
  </w:style>
  <w:style w:type="paragraph" w:customStyle="1" w:styleId="Coverclientname">
    <w:name w:val="Cover client name"/>
    <w:basedOn w:val="Covertitle"/>
    <w:rsid w:val="005029F5"/>
    <w:pPr>
      <w:spacing w:after="240"/>
    </w:pPr>
    <w:rPr>
      <w:rFonts w:ascii="Arial Bold" w:hAnsi="Arial Bold"/>
      <w:color w:val="467492"/>
      <w:sz w:val="28"/>
    </w:rPr>
  </w:style>
  <w:style w:type="paragraph" w:customStyle="1" w:styleId="Coverprojecttenderno">
    <w:name w:val="Cover project/tender no"/>
    <w:basedOn w:val="Coversubhead"/>
    <w:next w:val="BodyText"/>
    <w:rsid w:val="005029F5"/>
    <w:rPr>
      <w:color w:val="97BE0D"/>
      <w:sz w:val="28"/>
    </w:rPr>
  </w:style>
  <w:style w:type="paragraph" w:styleId="BodyText">
    <w:name w:val="Body Text"/>
    <w:basedOn w:val="Normal"/>
    <w:link w:val="BodyTextChar"/>
    <w:semiHidden/>
    <w:rsid w:val="005029F5"/>
    <w:pPr>
      <w:spacing w:after="120"/>
    </w:pPr>
  </w:style>
  <w:style w:type="paragraph" w:styleId="BlockText">
    <w:name w:val="Block Text"/>
    <w:basedOn w:val="Normal"/>
    <w:uiPriority w:val="99"/>
    <w:unhideWhenUsed/>
    <w:rsid w:val="004D42F9"/>
    <w:pPr>
      <w:spacing w:after="120"/>
      <w:ind w:left="1440" w:right="1440"/>
    </w:pPr>
  </w:style>
  <w:style w:type="character" w:customStyle="1" w:styleId="BodyTextChar">
    <w:name w:val="Body Text Char"/>
    <w:link w:val="BodyText"/>
    <w:semiHidden/>
    <w:rsid w:val="008C54D9"/>
    <w:rPr>
      <w:rFonts w:ascii="Helvetica" w:hAnsi="Helvetica"/>
      <w:sz w:val="22"/>
      <w:lang w:eastAsia="en-US"/>
    </w:rPr>
  </w:style>
  <w:style w:type="paragraph" w:customStyle="1" w:styleId="TitleIntroduction">
    <w:name w:val="Title Introduction"/>
    <w:basedOn w:val="Normal"/>
    <w:rsid w:val="00837BA7"/>
    <w:pPr>
      <w:pageBreakBefore/>
      <w:pBdr>
        <w:bottom w:val="single" w:sz="4" w:space="1" w:color="auto"/>
      </w:pBdr>
      <w:spacing w:before="400" w:after="300"/>
    </w:pPr>
    <w:rPr>
      <w:rFonts w:ascii="Arial Bold" w:hAnsi="Arial Bold" w:cs="Arial"/>
      <w:b/>
      <w:bCs/>
      <w:sz w:val="36"/>
      <w:szCs w:val="24"/>
    </w:rPr>
  </w:style>
  <w:style w:type="paragraph" w:customStyle="1" w:styleId="Generaltext">
    <w:name w:val="General text"/>
    <w:basedOn w:val="BodyText"/>
    <w:link w:val="GeneraltextChar"/>
    <w:qFormat/>
    <w:rsid w:val="00C3703D"/>
    <w:pPr>
      <w:spacing w:before="120" w:line="280" w:lineRule="exact"/>
    </w:pPr>
    <w:rPr>
      <w:rFonts w:cs="Arial"/>
      <w:sz w:val="21"/>
      <w:szCs w:val="24"/>
    </w:rPr>
  </w:style>
  <w:style w:type="paragraph" w:customStyle="1" w:styleId="Dividerheadingpage">
    <w:name w:val="Divider heading page"/>
    <w:basedOn w:val="Title"/>
    <w:rsid w:val="00A55153"/>
    <w:pPr>
      <w:framePr w:wrap="around"/>
      <w:spacing w:before="800"/>
      <w:jc w:val="right"/>
    </w:pPr>
    <w:rPr>
      <w:color w:val="808080"/>
      <w:sz w:val="80"/>
      <w:szCs w:val="80"/>
    </w:rPr>
  </w:style>
  <w:style w:type="paragraph" w:customStyle="1" w:styleId="Dividercoverpageheading">
    <w:name w:val="Divider cover page heading"/>
    <w:basedOn w:val="Normal"/>
    <w:qFormat/>
    <w:rsid w:val="008C7173"/>
    <w:pPr>
      <w:ind w:left="720"/>
    </w:pPr>
    <w:rPr>
      <w:color w:val="FFFFFF" w:themeColor="background1"/>
      <w:sz w:val="72"/>
      <w:szCs w:val="72"/>
      <w:lang w:val="en-US"/>
    </w:rPr>
  </w:style>
  <w:style w:type="paragraph" w:customStyle="1" w:styleId="Captionforappendix">
    <w:name w:val="Caption for appendix"/>
    <w:basedOn w:val="Caption"/>
    <w:autoRedefine/>
    <w:qFormat/>
    <w:rsid w:val="00E034CC"/>
  </w:style>
  <w:style w:type="paragraph" w:styleId="BalloonText">
    <w:name w:val="Balloon Text"/>
    <w:basedOn w:val="Normal"/>
    <w:link w:val="BalloonTextChar"/>
    <w:uiPriority w:val="99"/>
    <w:semiHidden/>
    <w:unhideWhenUsed/>
    <w:rsid w:val="008571E2"/>
    <w:rPr>
      <w:rFonts w:ascii="Tahoma" w:hAnsi="Tahoma" w:cs="Tahoma"/>
      <w:sz w:val="16"/>
      <w:szCs w:val="16"/>
    </w:rPr>
  </w:style>
  <w:style w:type="character" w:customStyle="1" w:styleId="BalloonTextChar">
    <w:name w:val="Balloon Text Char"/>
    <w:link w:val="BalloonText"/>
    <w:uiPriority w:val="99"/>
    <w:semiHidden/>
    <w:rsid w:val="008571E2"/>
    <w:rPr>
      <w:rFonts w:ascii="Tahoma" w:hAnsi="Tahoma" w:cs="Tahoma"/>
      <w:sz w:val="16"/>
      <w:szCs w:val="16"/>
      <w:lang w:eastAsia="en-US"/>
    </w:rPr>
  </w:style>
  <w:style w:type="character" w:styleId="PlaceholderText">
    <w:name w:val="Placeholder Text"/>
    <w:basedOn w:val="DefaultParagraphFont"/>
    <w:uiPriority w:val="99"/>
    <w:semiHidden/>
    <w:rsid w:val="00173796"/>
    <w:rPr>
      <w:color w:val="666666"/>
    </w:rPr>
  </w:style>
  <w:style w:type="character" w:styleId="UnresolvedMention">
    <w:name w:val="Unresolved Mention"/>
    <w:basedOn w:val="DefaultParagraphFont"/>
    <w:uiPriority w:val="99"/>
    <w:semiHidden/>
    <w:unhideWhenUsed/>
    <w:rsid w:val="00F766E3"/>
    <w:rPr>
      <w:color w:val="605E5C"/>
      <w:shd w:val="clear" w:color="auto" w:fill="E1DFDD"/>
    </w:rPr>
  </w:style>
  <w:style w:type="paragraph" w:customStyle="1" w:styleId="footerclientname">
    <w:name w:val="footer client name"/>
    <w:basedOn w:val="Generaltext"/>
    <w:link w:val="footerclientnameChar"/>
    <w:qFormat/>
    <w:rsid w:val="00B929DA"/>
    <w:pPr>
      <w:framePr w:hSpace="180" w:wrap="around" w:hAnchor="margin" w:y="-675"/>
    </w:pPr>
    <w:rPr>
      <w:color w:val="FFFFFF" w:themeColor="background1"/>
      <w:sz w:val="32"/>
      <w:szCs w:val="40"/>
    </w:rPr>
  </w:style>
  <w:style w:type="character" w:customStyle="1" w:styleId="GeneraltextChar">
    <w:name w:val="General text Char"/>
    <w:basedOn w:val="BodyTextChar"/>
    <w:link w:val="Generaltext"/>
    <w:rsid w:val="00B929DA"/>
    <w:rPr>
      <w:rFonts w:ascii="Arial" w:hAnsi="Arial" w:cs="Arial"/>
      <w:sz w:val="21"/>
      <w:szCs w:val="24"/>
      <w:lang w:eastAsia="en-US"/>
    </w:rPr>
  </w:style>
  <w:style w:type="character" w:customStyle="1" w:styleId="footerclientnameChar">
    <w:name w:val="footer client name Char"/>
    <w:basedOn w:val="GeneraltextChar"/>
    <w:link w:val="footerclientname"/>
    <w:rsid w:val="00B929DA"/>
    <w:rPr>
      <w:rFonts w:ascii="Arial" w:hAnsi="Arial" w:cs="Arial"/>
      <w:color w:val="FFFFFF" w:themeColor="background1"/>
      <w:sz w:val="32"/>
      <w:szCs w:val="40"/>
      <w:lang w:eastAsia="en-US"/>
    </w:rPr>
  </w:style>
  <w:style w:type="paragraph" w:customStyle="1" w:styleId="tendernumberfooter">
    <w:name w:val="tender number footer"/>
    <w:basedOn w:val="Generaltext"/>
    <w:link w:val="tendernumberfooterChar"/>
    <w:qFormat/>
    <w:rsid w:val="00DB6845"/>
    <w:pPr>
      <w:framePr w:hSpace="180" w:wrap="around" w:hAnchor="margin" w:y="-675"/>
      <w:spacing w:before="0" w:after="0"/>
    </w:pPr>
    <w:rPr>
      <w:color w:val="FFFFFF" w:themeColor="background1"/>
      <w:sz w:val="20"/>
    </w:rPr>
  </w:style>
  <w:style w:type="character" w:customStyle="1" w:styleId="tendernumberfooterChar">
    <w:name w:val="tender number footer Char"/>
    <w:basedOn w:val="GeneraltextChar"/>
    <w:link w:val="tendernumberfooter"/>
    <w:rsid w:val="00DB6845"/>
    <w:rPr>
      <w:rFonts w:ascii="Arial" w:hAnsi="Arial" w:cs="Arial"/>
      <w:color w:val="FFFFFF" w:themeColor="background1"/>
      <w:sz w:val="21"/>
      <w:szCs w:val="24"/>
      <w:lang w:eastAsia="en-US"/>
    </w:rPr>
  </w:style>
  <w:style w:type="paragraph" w:customStyle="1" w:styleId="Maintitle1">
    <w:name w:val="Main title1"/>
    <w:basedOn w:val="Title"/>
    <w:link w:val="Maintitle1Char"/>
    <w:rsid w:val="005D2383"/>
    <w:pPr>
      <w:framePr w:wrap="around"/>
    </w:pPr>
    <w:rPr>
      <w:color w:val="000000" w:themeColor="text1"/>
    </w:rPr>
  </w:style>
  <w:style w:type="character" w:customStyle="1" w:styleId="TitleChar">
    <w:name w:val="Title Char"/>
    <w:aliases w:val="Main title new Char"/>
    <w:basedOn w:val="DefaultParagraphFont"/>
    <w:link w:val="Title"/>
    <w:rsid w:val="009D7467"/>
    <w:rPr>
      <w:rFonts w:ascii="Arial" w:hAnsi="Arial" w:cs="Arial"/>
      <w:b/>
      <w:color w:val="FFFFFF" w:themeColor="background1"/>
      <w:sz w:val="44"/>
      <w:szCs w:val="24"/>
      <w:lang w:eastAsia="en-US"/>
    </w:rPr>
  </w:style>
  <w:style w:type="character" w:customStyle="1" w:styleId="Maintitle1Char">
    <w:name w:val="Main title1 Char"/>
    <w:basedOn w:val="TitleChar"/>
    <w:link w:val="Maintitle1"/>
    <w:rsid w:val="005D2383"/>
    <w:rPr>
      <w:rFonts w:ascii="Arial" w:hAnsi="Arial" w:cs="Arial"/>
      <w:b/>
      <w:color w:val="000000" w:themeColor="text1"/>
      <w:sz w:val="44"/>
      <w:szCs w:val="24"/>
      <w:lang w:eastAsia="en-US"/>
    </w:rPr>
  </w:style>
  <w:style w:type="table" w:styleId="TableGrid">
    <w:name w:val="Table Grid"/>
    <w:basedOn w:val="TableNormal"/>
    <w:uiPriority w:val="59"/>
    <w:rsid w:val="00971D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aliases w:val="RSK Table style"/>
    <w:basedOn w:val="TableNormal"/>
    <w:uiPriority w:val="41"/>
    <w:rsid w:val="00971D50"/>
    <w:rPr>
      <w:rFonts w:ascii="Arial" w:hAnsi="Ari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Heading">
    <w:name w:val="TOC Heading"/>
    <w:basedOn w:val="Heading1"/>
    <w:next w:val="Normal"/>
    <w:uiPriority w:val="39"/>
    <w:unhideWhenUsed/>
    <w:rsid w:val="00B5465D"/>
    <w:pPr>
      <w:numPr>
        <w:numId w:val="0"/>
      </w:numPr>
      <w:spacing w:before="240" w:after="0" w:line="259" w:lineRule="auto"/>
      <w:outlineLvl w:val="9"/>
    </w:pPr>
    <w:rPr>
      <w:rFonts w:eastAsiaTheme="majorEastAsia" w:cstheme="majorBidi"/>
      <w:color w:val="000000" w:themeColor="text1"/>
      <w:szCs w:val="32"/>
      <w:lang w:eastAsia="en-GB"/>
    </w:rPr>
  </w:style>
  <w:style w:type="character" w:styleId="CommentReference">
    <w:name w:val="annotation reference"/>
    <w:basedOn w:val="DefaultParagraphFont"/>
    <w:uiPriority w:val="99"/>
    <w:semiHidden/>
    <w:unhideWhenUsed/>
    <w:rsid w:val="00F16309"/>
    <w:rPr>
      <w:sz w:val="16"/>
      <w:szCs w:val="16"/>
    </w:rPr>
  </w:style>
  <w:style w:type="paragraph" w:styleId="CommentText">
    <w:name w:val="annotation text"/>
    <w:basedOn w:val="Normal"/>
    <w:link w:val="CommentTextChar"/>
    <w:uiPriority w:val="99"/>
    <w:unhideWhenUsed/>
    <w:rsid w:val="00F16309"/>
  </w:style>
  <w:style w:type="character" w:customStyle="1" w:styleId="CommentTextChar">
    <w:name w:val="Comment Text Char"/>
    <w:basedOn w:val="DefaultParagraphFont"/>
    <w:link w:val="CommentText"/>
    <w:uiPriority w:val="99"/>
    <w:rsid w:val="00F16309"/>
    <w:rPr>
      <w:rFonts w:ascii="Helvetica" w:hAnsi="Helvetica"/>
      <w:lang w:eastAsia="en-US"/>
    </w:rPr>
  </w:style>
  <w:style w:type="paragraph" w:styleId="CommentSubject">
    <w:name w:val="annotation subject"/>
    <w:basedOn w:val="CommentText"/>
    <w:next w:val="CommentText"/>
    <w:link w:val="CommentSubjectChar"/>
    <w:uiPriority w:val="99"/>
    <w:semiHidden/>
    <w:unhideWhenUsed/>
    <w:rsid w:val="00F16309"/>
    <w:rPr>
      <w:b/>
      <w:bCs/>
    </w:rPr>
  </w:style>
  <w:style w:type="character" w:customStyle="1" w:styleId="CommentSubjectChar">
    <w:name w:val="Comment Subject Char"/>
    <w:basedOn w:val="CommentTextChar"/>
    <w:link w:val="CommentSubject"/>
    <w:uiPriority w:val="99"/>
    <w:semiHidden/>
    <w:rsid w:val="00F16309"/>
    <w:rPr>
      <w:rFonts w:ascii="Helvetica" w:hAnsi="Helvetica"/>
      <w:b/>
      <w:bCs/>
      <w:lang w:eastAsia="en-US"/>
    </w:rPr>
  </w:style>
  <w:style w:type="table" w:customStyle="1" w:styleId="RSK">
    <w:name w:val="RSK"/>
    <w:basedOn w:val="TableNormal"/>
    <w:uiPriority w:val="99"/>
    <w:rsid w:val="00761649"/>
    <w:rPr>
      <w:rFonts w:ascii="Arial" w:hAnsi="Arial"/>
    </w:rPr>
    <w:tblPr>
      <w:tblStyleRowBandSize w:val="1"/>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CellMar>
        <w:top w:w="57" w:type="dxa"/>
        <w:bottom w:w="57" w:type="dxa"/>
      </w:tblCellMar>
    </w:tblPr>
    <w:trPr>
      <w:cantSplit/>
    </w:trPr>
    <w:tcPr>
      <w:vAlign w:val="center"/>
    </w:tcPr>
    <w:tblStylePr w:type="firstRow">
      <w:rPr>
        <w:rFonts w:ascii="Arial" w:hAnsi="Arial"/>
        <w:b/>
        <w:color w:val="FFFFFF" w:themeColor="background1"/>
        <w:sz w:val="20"/>
      </w:rPr>
      <w:tblPr/>
      <w:tcPr>
        <w:shd w:val="clear" w:color="auto" w:fill="36749D" w:themeFill="accent3"/>
      </w:tcPr>
    </w:tblStylePr>
  </w:style>
  <w:style w:type="paragraph" w:customStyle="1" w:styleId="Captionnumbers">
    <w:name w:val="Caption numbers"/>
    <w:basedOn w:val="Heading4"/>
    <w:link w:val="CaptionnumbersChar"/>
    <w:rsid w:val="005C6787"/>
    <w:pPr>
      <w:numPr>
        <w:ilvl w:val="0"/>
        <w:numId w:val="4"/>
      </w:numPr>
      <w:tabs>
        <w:tab w:val="clear" w:pos="567"/>
      </w:tabs>
    </w:pPr>
  </w:style>
  <w:style w:type="character" w:customStyle="1" w:styleId="CaptionChar">
    <w:name w:val="Caption Char"/>
    <w:basedOn w:val="DefaultParagraphFont"/>
    <w:link w:val="Caption"/>
    <w:rsid w:val="00396741"/>
    <w:rPr>
      <w:rFonts w:ascii="Arial" w:hAnsi="Arial"/>
      <w:bCs/>
      <w:i/>
      <w:lang w:eastAsia="en-US"/>
    </w:rPr>
  </w:style>
  <w:style w:type="character" w:customStyle="1" w:styleId="CaptionnumbersChar">
    <w:name w:val="Caption numbers Char"/>
    <w:basedOn w:val="CaptionChar"/>
    <w:link w:val="Captionnumbers"/>
    <w:rsid w:val="005C6787"/>
    <w:rPr>
      <w:rFonts w:ascii="Arial" w:hAnsi="Arial"/>
      <w:b/>
      <w:bCs w:val="0"/>
      <w:i w:val="0"/>
      <w:color w:val="523E91" w:themeColor="accent4"/>
      <w:sz w:val="22"/>
      <w:lang w:eastAsia="en-US"/>
    </w:rPr>
  </w:style>
  <w:style w:type="paragraph" w:styleId="ListParagraph">
    <w:name w:val="List Paragraph"/>
    <w:basedOn w:val="Normal"/>
    <w:uiPriority w:val="34"/>
    <w:qFormat/>
    <w:rsid w:val="00396741"/>
    <w:pPr>
      <w:numPr>
        <w:numId w:val="6"/>
      </w:numPr>
      <w:contextualSpacing/>
    </w:pPr>
  </w:style>
  <w:style w:type="table" w:styleId="ListTable4-Accent4">
    <w:name w:val="List Table 4 Accent 4"/>
    <w:basedOn w:val="TableNormal"/>
    <w:uiPriority w:val="49"/>
    <w:rsid w:val="00C35F30"/>
    <w:rPr>
      <w:rFonts w:ascii="Arial" w:hAnsi="Arial"/>
    </w:rPr>
    <w:tblPr>
      <w:tblStyleRowBandSize w:val="1"/>
      <w:tblStyleColBandSize w:val="1"/>
      <w:tblBorders>
        <w:top w:val="single" w:sz="4" w:space="0" w:color="907FC8" w:themeColor="accent4" w:themeTint="99"/>
        <w:left w:val="single" w:sz="4" w:space="0" w:color="907FC8" w:themeColor="accent4" w:themeTint="99"/>
        <w:bottom w:val="single" w:sz="4" w:space="0" w:color="907FC8" w:themeColor="accent4" w:themeTint="99"/>
        <w:right w:val="single" w:sz="4" w:space="0" w:color="907FC8" w:themeColor="accent4" w:themeTint="99"/>
        <w:insideH w:val="single" w:sz="4" w:space="0" w:color="907FC8" w:themeColor="accent4" w:themeTint="99"/>
      </w:tblBorders>
    </w:tblPr>
    <w:tblStylePr w:type="firstRow">
      <w:rPr>
        <w:rFonts w:ascii="Arial" w:hAnsi="Arial"/>
        <w:b/>
        <w:bCs/>
        <w:color w:val="FFFFFF" w:themeColor="background1"/>
        <w:sz w:val="20"/>
      </w:rPr>
      <w:tblPr/>
      <w:tcPr>
        <w:shd w:val="clear" w:color="auto" w:fill="36749D" w:themeFill="accent3"/>
      </w:tcPr>
    </w:tblStylePr>
    <w:tblStylePr w:type="lastRow">
      <w:rPr>
        <w:b/>
        <w:bCs/>
      </w:rPr>
      <w:tblPr/>
      <w:tcPr>
        <w:tcBorders>
          <w:top w:val="double" w:sz="4" w:space="0" w:color="907FC8" w:themeColor="accent4" w:themeTint="99"/>
        </w:tcBorders>
      </w:tcPr>
    </w:tblStylePr>
    <w:tblStylePr w:type="firstCol">
      <w:rPr>
        <w:b/>
        <w:bCs/>
      </w:rPr>
    </w:tblStylePr>
    <w:tblStylePr w:type="lastCol">
      <w:rPr>
        <w:b/>
        <w:bCs/>
      </w:rPr>
    </w:tblStylePr>
    <w:tblStylePr w:type="band1Vert">
      <w:tblPr/>
      <w:tcPr>
        <w:shd w:val="clear" w:color="auto" w:fill="DAD4EC" w:themeFill="accent4" w:themeFillTint="33"/>
      </w:tcPr>
    </w:tblStylePr>
    <w:tblStylePr w:type="band1Horz">
      <w:tblPr/>
      <w:tcPr>
        <w:shd w:val="clear" w:color="auto" w:fill="DAD4EC" w:themeFill="accent4" w:themeFillTint="33"/>
      </w:tcPr>
    </w:tblStylePr>
  </w:style>
  <w:style w:type="table" w:styleId="ListTable3-Accent4">
    <w:name w:val="List Table 3 Accent 4"/>
    <w:aliases w:val="RSK Simple table"/>
    <w:basedOn w:val="TableNormal"/>
    <w:uiPriority w:val="48"/>
    <w:rsid w:val="00C35F30"/>
    <w:rPr>
      <w:rFonts w:ascii="Arial" w:hAnsi="Arial"/>
    </w:rPr>
    <w:tblPr>
      <w:tblStyleRowBandSize w:val="1"/>
      <w:tblStyleColBandSize w:val="1"/>
      <w:tblBorders>
        <w:top w:val="single" w:sz="4" w:space="0" w:color="523E91" w:themeColor="accent4"/>
        <w:left w:val="single" w:sz="4" w:space="0" w:color="523E91" w:themeColor="accent4"/>
        <w:bottom w:val="single" w:sz="4" w:space="0" w:color="523E91" w:themeColor="accent4"/>
        <w:right w:val="single" w:sz="4" w:space="0" w:color="523E91" w:themeColor="accent4"/>
      </w:tblBorders>
    </w:tblPr>
    <w:tblStylePr w:type="firstRow">
      <w:rPr>
        <w:b/>
        <w:bCs/>
        <w:color w:val="FFFFFF" w:themeColor="background1"/>
      </w:rPr>
      <w:tblPr/>
      <w:tcPr>
        <w:shd w:val="clear" w:color="auto" w:fill="36749D" w:themeFill="accent3"/>
      </w:tcPr>
    </w:tblStylePr>
    <w:tblStylePr w:type="lastRow">
      <w:rPr>
        <w:b/>
        <w:bCs/>
      </w:rPr>
      <w:tblPr/>
      <w:tcPr>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23E91" w:themeColor="accent4"/>
          <w:right w:val="single" w:sz="4" w:space="0" w:color="523E91" w:themeColor="accent4"/>
        </w:tcBorders>
      </w:tcPr>
    </w:tblStylePr>
    <w:tblStylePr w:type="band1Horz">
      <w:tblPr/>
      <w:tcPr>
        <w:shd w:val="clear" w:color="auto" w:fill="F2F2F2" w:themeFill="background1" w:themeFillShade="F2"/>
      </w:tcPr>
    </w:tblStylePr>
    <w:tblStylePr w:type="band2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23E91" w:themeColor="accent4"/>
          <w:left w:val="nil"/>
        </w:tcBorders>
      </w:tcPr>
    </w:tblStylePr>
    <w:tblStylePr w:type="swCell">
      <w:tblPr/>
      <w:tcPr>
        <w:tcBorders>
          <w:top w:val="double" w:sz="4" w:space="0" w:color="523E91" w:themeColor="accent4"/>
          <w:right w:val="nil"/>
        </w:tcBorders>
      </w:tcPr>
    </w:tblStylePr>
  </w:style>
  <w:style w:type="table" w:customStyle="1" w:styleId="2column">
    <w:name w:val="2 column"/>
    <w:basedOn w:val="TableNormal"/>
    <w:uiPriority w:val="99"/>
    <w:rsid w:val="001E31A5"/>
    <w:tblPr/>
  </w:style>
  <w:style w:type="table" w:customStyle="1" w:styleId="RSK2column">
    <w:name w:val="RSK 2 column"/>
    <w:basedOn w:val="TableNormal"/>
    <w:uiPriority w:val="99"/>
    <w:rsid w:val="00EE31E7"/>
    <w:tblPr/>
  </w:style>
  <w:style w:type="paragraph" w:customStyle="1" w:styleId="Tablefigureheadernumbered">
    <w:name w:val="Table figure header numbered"/>
    <w:basedOn w:val="Tableheader"/>
    <w:link w:val="TablefigureheadernumberedChar"/>
    <w:rsid w:val="00807401"/>
    <w:pPr>
      <w:numPr>
        <w:numId w:val="5"/>
      </w:numPr>
    </w:pPr>
    <w:rPr>
      <w:rFonts w:ascii="Arial" w:hAnsi="Arial"/>
      <w:b w:val="0"/>
      <w:i/>
      <w:color w:val="auto"/>
    </w:rPr>
  </w:style>
  <w:style w:type="character" w:customStyle="1" w:styleId="BodyChar">
    <w:name w:val="Body Char"/>
    <w:basedOn w:val="DefaultParagraphFont"/>
    <w:link w:val="Body"/>
    <w:rsid w:val="007C66B6"/>
    <w:rPr>
      <w:rFonts w:ascii="Arial" w:hAnsi="Arial"/>
      <w:sz w:val="22"/>
      <w:lang w:eastAsia="en-US"/>
    </w:rPr>
  </w:style>
  <w:style w:type="character" w:customStyle="1" w:styleId="TableheaderChar">
    <w:name w:val="Table header Char"/>
    <w:basedOn w:val="BodyChar"/>
    <w:link w:val="Tableheader"/>
    <w:rsid w:val="00861072"/>
    <w:rPr>
      <w:rFonts w:ascii="Arial Bold" w:hAnsi="Arial Bold"/>
      <w:b/>
      <w:color w:val="FFFFFF"/>
      <w:sz w:val="22"/>
      <w:lang w:eastAsia="en-US"/>
    </w:rPr>
  </w:style>
  <w:style w:type="character" w:customStyle="1" w:styleId="TablefigureheadernumberedChar">
    <w:name w:val="Table figure header numbered Char"/>
    <w:basedOn w:val="TableheaderChar"/>
    <w:link w:val="Tablefigureheadernumbered"/>
    <w:rsid w:val="00807401"/>
    <w:rPr>
      <w:rFonts w:ascii="Arial" w:hAnsi="Arial"/>
      <w:b w:val="0"/>
      <w:i/>
      <w:color w:val="FFFFFF"/>
      <w:sz w:val="22"/>
      <w:lang w:eastAsia="en-US"/>
    </w:rPr>
  </w:style>
  <w:style w:type="paragraph" w:styleId="NormalWeb">
    <w:name w:val="Normal (Web)"/>
    <w:basedOn w:val="Normal"/>
    <w:uiPriority w:val="99"/>
    <w:semiHidden/>
    <w:unhideWhenUsed/>
    <w:rsid w:val="00AB638A"/>
    <w:pPr>
      <w:spacing w:before="100" w:beforeAutospacing="1" w:after="100" w:afterAutospacing="1"/>
    </w:pPr>
    <w:rPr>
      <w:rFonts w:ascii="Times New Roman" w:hAnsi="Times New Roman"/>
      <w:sz w:val="24"/>
      <w:szCs w:val="24"/>
      <w:lang w:eastAsia="en-GB"/>
    </w:rPr>
  </w:style>
  <w:style w:type="paragraph" w:styleId="NoSpacing">
    <w:name w:val="No Spacing"/>
    <w:link w:val="NoSpacingChar"/>
    <w:uiPriority w:val="1"/>
    <w:rsid w:val="00C66722"/>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C66722"/>
    <w:rPr>
      <w:rFonts w:asciiTheme="minorHAnsi" w:eastAsiaTheme="minorEastAsia" w:hAnsiTheme="minorHAnsi" w:cstheme="minorBidi"/>
      <w:sz w:val="22"/>
      <w:szCs w:val="22"/>
    </w:rPr>
  </w:style>
  <w:style w:type="table" w:customStyle="1" w:styleId="Calendar1">
    <w:name w:val="Calendar 1"/>
    <w:basedOn w:val="TableNormal"/>
    <w:uiPriority w:val="99"/>
    <w:qFormat/>
    <w:rsid w:val="00407475"/>
    <w:rPr>
      <w:rFonts w:asciiTheme="minorHAnsi" w:eastAsiaTheme="minorEastAsia" w:hAnsiTheme="minorHAnsi" w:cstheme="minorBidi"/>
      <w:sz w:val="22"/>
      <w:szCs w:val="22"/>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styleId="Revision">
    <w:name w:val="Revision"/>
    <w:hidden/>
    <w:uiPriority w:val="99"/>
    <w:semiHidden/>
    <w:rsid w:val="006C253A"/>
    <w:rPr>
      <w:rFonts w:ascii="Arial" w:hAnsi="Arial"/>
      <w:lang w:eastAsia="en-US"/>
    </w:rPr>
  </w:style>
  <w:style w:type="paragraph" w:customStyle="1" w:styleId="Level2Bullets">
    <w:name w:val="Level 2 Bullets"/>
    <w:basedOn w:val="Bullets"/>
    <w:next w:val="Bullets"/>
    <w:link w:val="Level2BulletsChar"/>
    <w:autoRedefine/>
    <w:qFormat/>
    <w:rsid w:val="00B5465D"/>
    <w:pPr>
      <w:tabs>
        <w:tab w:val="left" w:pos="768"/>
        <w:tab w:val="left" w:leader="dot" w:pos="851"/>
      </w:tabs>
      <w:ind w:left="1562" w:hanging="794"/>
    </w:pPr>
  </w:style>
  <w:style w:type="character" w:customStyle="1" w:styleId="BulletsChar">
    <w:name w:val="Bullets Char"/>
    <w:basedOn w:val="BodyChar"/>
    <w:link w:val="Bullets"/>
    <w:rsid w:val="00A76AAB"/>
    <w:rPr>
      <w:rFonts w:ascii="Arial" w:hAnsi="Arial" w:cs="Arial"/>
      <w:sz w:val="22"/>
      <w:lang w:eastAsia="en-US"/>
    </w:rPr>
  </w:style>
  <w:style w:type="character" w:customStyle="1" w:styleId="Level2BulletsChar">
    <w:name w:val="Level 2 Bullets Char"/>
    <w:basedOn w:val="BulletsChar"/>
    <w:link w:val="Level2Bullets"/>
    <w:rsid w:val="00B5465D"/>
    <w:rPr>
      <w:rFonts w:ascii="Arial" w:hAnsi="Arial" w:cs="Arial"/>
      <w:sz w:val="22"/>
      <w:lang w:eastAsia="en-US"/>
    </w:rPr>
  </w:style>
  <w:style w:type="paragraph" w:customStyle="1" w:styleId="Appendiceflypage">
    <w:name w:val="Appendice fly page"/>
    <w:basedOn w:val="Generaltext"/>
    <w:link w:val="AppendiceflypageChar"/>
    <w:autoRedefine/>
    <w:qFormat/>
    <w:rsid w:val="00734E1B"/>
    <w:pPr>
      <w:framePr w:hSpace="180" w:wrap="around" w:vAnchor="page" w:hAnchor="margin" w:y="1521"/>
      <w:spacing w:before="0" w:after="0" w:line="240" w:lineRule="auto"/>
    </w:pPr>
    <w:rPr>
      <w:b/>
      <w:sz w:val="40"/>
    </w:rPr>
  </w:style>
  <w:style w:type="character" w:customStyle="1" w:styleId="AppendiceflypageChar">
    <w:name w:val="Appendice fly page Char"/>
    <w:basedOn w:val="GeneraltextChar"/>
    <w:link w:val="Appendiceflypage"/>
    <w:rsid w:val="00734E1B"/>
    <w:rPr>
      <w:rFonts w:ascii="Arial" w:hAnsi="Arial" w:cs="Arial"/>
      <w:b/>
      <w:sz w:val="40"/>
      <w:szCs w:val="24"/>
      <w:lang w:eastAsia="en-US"/>
    </w:rPr>
  </w:style>
  <w:style w:type="table" w:styleId="GridTable4">
    <w:name w:val="Grid Table 4"/>
    <w:basedOn w:val="TableNormal"/>
    <w:uiPriority w:val="49"/>
    <w:rsid w:val="00763A6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RSKTableStyles">
    <w:name w:val="RSK Table Styles"/>
    <w:basedOn w:val="TableContemporary"/>
    <w:uiPriority w:val="99"/>
    <w:rsid w:val="00763A6D"/>
    <w:rPr>
      <w:rFonts w:ascii="Arial" w:hAnsi="Arial"/>
      <w:lang w:val="en-US" w:eastAsia="en-US"/>
    </w:rPr>
    <w:tblPr>
      <w:tblBorders>
        <w:insideH w:val="single" w:sz="4" w:space="0" w:color="BFBFBF" w:themeColor="background1" w:themeShade="BF"/>
        <w:insideV w:val="single" w:sz="4" w:space="0" w:color="BFBFBF" w:themeColor="background1" w:themeShade="B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Contemporary">
    <w:name w:val="Table Contemporary"/>
    <w:basedOn w:val="TableNormal"/>
    <w:uiPriority w:val="99"/>
    <w:semiHidden/>
    <w:unhideWhenUsed/>
    <w:rsid w:val="00763A6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Coverfooter">
    <w:name w:val="Cover footer"/>
    <w:basedOn w:val="Normal"/>
    <w:link w:val="CoverfooterChar"/>
    <w:qFormat/>
    <w:rsid w:val="002C0C3A"/>
    <w:pPr>
      <w:jc w:val="right"/>
    </w:pPr>
    <w:rPr>
      <w:color w:val="000000" w:themeColor="text1"/>
      <w:sz w:val="18"/>
    </w:rPr>
  </w:style>
  <w:style w:type="character" w:customStyle="1" w:styleId="CoverfooterChar">
    <w:name w:val="Cover footer Char"/>
    <w:basedOn w:val="DefaultParagraphFont"/>
    <w:link w:val="Coverfooter"/>
    <w:rsid w:val="002C0C3A"/>
    <w:rPr>
      <w:rFonts w:ascii="Arial" w:hAnsi="Arial"/>
      <w:color w:val="000000" w:themeColor="text1"/>
      <w:sz w:val="18"/>
      <w:lang w:eastAsia="en-US"/>
    </w:rPr>
  </w:style>
  <w:style w:type="character" w:customStyle="1" w:styleId="Heading3Char">
    <w:name w:val="Heading 3 Char"/>
    <w:basedOn w:val="DefaultParagraphFont"/>
    <w:link w:val="Heading3"/>
    <w:rsid w:val="004327C2"/>
    <w:rPr>
      <w:rFonts w:ascii="Arial" w:hAnsi="Arial"/>
      <w:b/>
      <w:sz w:val="24"/>
      <w:szCs w:val="24"/>
      <w:lang w:eastAsia="en-US"/>
    </w:rPr>
  </w:style>
  <w:style w:type="character" w:customStyle="1" w:styleId="FootnoteTextChar">
    <w:name w:val="Footnote Text Char"/>
    <w:aliases w:val="FOOTNOTES Char,Footnote Text Char1 Char,Footnote Text Char Char Char,Footnote Text Char1 Char Char Char Char,Footnote Text Char Char Char Char Char Char,Footnote Text1 Char Char Char Char,Footnote Text Char1 Char1 Char Char,fn Char"/>
    <w:basedOn w:val="DefaultParagraphFont"/>
    <w:link w:val="FootnoteText"/>
    <w:uiPriority w:val="99"/>
    <w:rsid w:val="00927195"/>
    <w:rPr>
      <w:rFonts w:ascii="Arial" w:hAnsi="Arial"/>
      <w:sz w:val="16"/>
      <w:lang w:eastAsia="en-US"/>
    </w:rPr>
  </w:style>
  <w:style w:type="paragraph" w:customStyle="1" w:styleId="AppelnotedebasdepageCharCharCharCharCharCharChar">
    <w:name w:val="Appel note de bas de page Char Char Char Char Char Char Char"/>
    <w:basedOn w:val="Normal"/>
    <w:link w:val="FootnoteReference"/>
    <w:uiPriority w:val="99"/>
    <w:rsid w:val="00927195"/>
    <w:pPr>
      <w:jc w:val="both"/>
    </w:pPr>
    <w:rPr>
      <w:sz w:val="16"/>
      <w:vertAlign w:val="superscript"/>
      <w:lang w:eastAsia="en-GB"/>
    </w:rPr>
  </w:style>
  <w:style w:type="paragraph" w:styleId="ListBullet2">
    <w:name w:val="List Bullet 2"/>
    <w:basedOn w:val="Normal"/>
    <w:semiHidden/>
    <w:rsid w:val="00866FF6"/>
    <w:pPr>
      <w:numPr>
        <w:numId w:val="8"/>
      </w:numPr>
    </w:pPr>
    <w:rPr>
      <w:rFonts w:eastAsia="Arial" w:cs="Arial"/>
      <w:color w:val="333333"/>
    </w:rPr>
  </w:style>
  <w:style w:type="paragraph" w:customStyle="1" w:styleId="Disclaimernumbering">
    <w:name w:val="Disclaimer numbering"/>
    <w:basedOn w:val="Normal"/>
    <w:rsid w:val="00892B5A"/>
    <w:pPr>
      <w:numPr>
        <w:numId w:val="11"/>
      </w:numPr>
      <w:spacing w:after="60" w:line="264" w:lineRule="auto"/>
    </w:pPr>
    <w:rPr>
      <w:rFonts w:eastAsia="MS Mincho"/>
      <w:color w:val="333333"/>
    </w:rPr>
  </w:style>
  <w:style w:type="paragraph" w:customStyle="1" w:styleId="Bullet1nospacing">
    <w:name w:val="Bullet 1 (no spacing)"/>
    <w:basedOn w:val="Normal"/>
    <w:qFormat/>
    <w:rsid w:val="00892B5A"/>
    <w:pPr>
      <w:numPr>
        <w:numId w:val="9"/>
      </w:numPr>
    </w:pPr>
    <w:rPr>
      <w:rFonts w:eastAsia="MS Mincho"/>
      <w:color w:val="333333"/>
    </w:rPr>
  </w:style>
  <w:style w:type="paragraph" w:customStyle="1" w:styleId="Bullet2nospacing">
    <w:name w:val="Bullet 2 (no spacing)"/>
    <w:basedOn w:val="Normal"/>
    <w:qFormat/>
    <w:rsid w:val="00892B5A"/>
    <w:pPr>
      <w:numPr>
        <w:ilvl w:val="1"/>
        <w:numId w:val="9"/>
      </w:numPr>
    </w:pPr>
    <w:rPr>
      <w:rFonts w:eastAsia="MS Mincho"/>
      <w:color w:val="333333"/>
    </w:rPr>
  </w:style>
  <w:style w:type="paragraph" w:customStyle="1" w:styleId="Bullet3nospacing">
    <w:name w:val="Bullet 3 (no spacing)"/>
    <w:basedOn w:val="Normal"/>
    <w:qFormat/>
    <w:rsid w:val="00892B5A"/>
    <w:pPr>
      <w:numPr>
        <w:ilvl w:val="2"/>
        <w:numId w:val="9"/>
      </w:numPr>
    </w:pPr>
    <w:rPr>
      <w:rFonts w:eastAsia="MS Mincho"/>
      <w:color w:val="333333"/>
    </w:rPr>
  </w:style>
  <w:style w:type="paragraph" w:customStyle="1" w:styleId="ContactDetails">
    <w:name w:val="Contact Details"/>
    <w:basedOn w:val="Normal"/>
    <w:qFormat/>
    <w:rsid w:val="00892B5A"/>
    <w:pPr>
      <w:numPr>
        <w:ilvl w:val="5"/>
        <w:numId w:val="10"/>
      </w:numPr>
      <w:spacing w:line="288" w:lineRule="auto"/>
    </w:pPr>
    <w:rPr>
      <w:rFonts w:eastAsia="MS Mincho"/>
      <w:color w:val="333333"/>
      <w:sz w:val="22"/>
    </w:rPr>
  </w:style>
  <w:style w:type="paragraph" w:customStyle="1" w:styleId="ContactDirect">
    <w:name w:val="Contact Direct"/>
    <w:basedOn w:val="Normal"/>
    <w:next w:val="ContactMobile"/>
    <w:qFormat/>
    <w:rsid w:val="00892B5A"/>
    <w:pPr>
      <w:numPr>
        <w:ilvl w:val="1"/>
        <w:numId w:val="10"/>
      </w:numPr>
      <w:spacing w:line="288" w:lineRule="auto"/>
    </w:pPr>
    <w:rPr>
      <w:rFonts w:eastAsia="Arial" w:cs="Arial"/>
      <w:color w:val="333333"/>
      <w:sz w:val="16"/>
    </w:rPr>
  </w:style>
  <w:style w:type="paragraph" w:customStyle="1" w:styleId="Contacte-mail">
    <w:name w:val="Contact e-mail"/>
    <w:basedOn w:val="Normal"/>
    <w:next w:val="ContactOffice"/>
    <w:qFormat/>
    <w:rsid w:val="00892B5A"/>
    <w:pPr>
      <w:numPr>
        <w:ilvl w:val="3"/>
        <w:numId w:val="10"/>
      </w:numPr>
      <w:spacing w:line="288" w:lineRule="auto"/>
    </w:pPr>
    <w:rPr>
      <w:rFonts w:eastAsia="Arial" w:cs="Arial"/>
      <w:color w:val="333333"/>
      <w:sz w:val="16"/>
    </w:rPr>
  </w:style>
  <w:style w:type="paragraph" w:customStyle="1" w:styleId="ContactMobile">
    <w:name w:val="Contact Mobile"/>
    <w:basedOn w:val="Normal"/>
    <w:next w:val="Contacte-mail"/>
    <w:qFormat/>
    <w:rsid w:val="00892B5A"/>
    <w:pPr>
      <w:numPr>
        <w:ilvl w:val="2"/>
        <w:numId w:val="10"/>
      </w:numPr>
      <w:spacing w:line="288" w:lineRule="auto"/>
    </w:pPr>
    <w:rPr>
      <w:rFonts w:eastAsia="Arial" w:cs="Arial"/>
      <w:color w:val="333333"/>
      <w:sz w:val="16"/>
    </w:rPr>
  </w:style>
  <w:style w:type="paragraph" w:customStyle="1" w:styleId="ContactOffice">
    <w:name w:val="Contact Office"/>
    <w:basedOn w:val="Normal"/>
    <w:next w:val="ContactDetails"/>
    <w:qFormat/>
    <w:rsid w:val="00892B5A"/>
    <w:pPr>
      <w:numPr>
        <w:ilvl w:val="4"/>
        <w:numId w:val="10"/>
      </w:numPr>
      <w:spacing w:line="288" w:lineRule="auto"/>
    </w:pPr>
    <w:rPr>
      <w:rFonts w:eastAsia="MS Mincho"/>
      <w:color w:val="333333"/>
      <w:sz w:val="16"/>
    </w:rPr>
  </w:style>
  <w:style w:type="paragraph" w:styleId="ListBullet">
    <w:name w:val="List Bullet"/>
    <w:basedOn w:val="Normal"/>
    <w:semiHidden/>
    <w:rsid w:val="00892B5A"/>
    <w:pPr>
      <w:numPr>
        <w:numId w:val="12"/>
      </w:numPr>
    </w:pPr>
    <w:rPr>
      <w:rFonts w:eastAsia="Arial" w:cs="Arial"/>
      <w:color w:val="3333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24888">
      <w:bodyDiv w:val="1"/>
      <w:marLeft w:val="0"/>
      <w:marRight w:val="0"/>
      <w:marTop w:val="0"/>
      <w:marBottom w:val="0"/>
      <w:divBdr>
        <w:top w:val="none" w:sz="0" w:space="0" w:color="auto"/>
        <w:left w:val="none" w:sz="0" w:space="0" w:color="auto"/>
        <w:bottom w:val="none" w:sz="0" w:space="0" w:color="auto"/>
        <w:right w:val="none" w:sz="0" w:space="0" w:color="auto"/>
      </w:divBdr>
    </w:div>
    <w:div w:id="161821825">
      <w:bodyDiv w:val="1"/>
      <w:marLeft w:val="0"/>
      <w:marRight w:val="0"/>
      <w:marTop w:val="0"/>
      <w:marBottom w:val="0"/>
      <w:divBdr>
        <w:top w:val="none" w:sz="0" w:space="0" w:color="auto"/>
        <w:left w:val="none" w:sz="0" w:space="0" w:color="auto"/>
        <w:bottom w:val="none" w:sz="0" w:space="0" w:color="auto"/>
        <w:right w:val="none" w:sz="0" w:space="0" w:color="auto"/>
      </w:divBdr>
    </w:div>
    <w:div w:id="435951119">
      <w:bodyDiv w:val="1"/>
      <w:marLeft w:val="0"/>
      <w:marRight w:val="0"/>
      <w:marTop w:val="0"/>
      <w:marBottom w:val="0"/>
      <w:divBdr>
        <w:top w:val="none" w:sz="0" w:space="0" w:color="auto"/>
        <w:left w:val="none" w:sz="0" w:space="0" w:color="auto"/>
        <w:bottom w:val="none" w:sz="0" w:space="0" w:color="auto"/>
        <w:right w:val="none" w:sz="0" w:space="0" w:color="auto"/>
      </w:divBdr>
    </w:div>
    <w:div w:id="505244004">
      <w:bodyDiv w:val="1"/>
      <w:marLeft w:val="0"/>
      <w:marRight w:val="0"/>
      <w:marTop w:val="0"/>
      <w:marBottom w:val="0"/>
      <w:divBdr>
        <w:top w:val="none" w:sz="0" w:space="0" w:color="auto"/>
        <w:left w:val="none" w:sz="0" w:space="0" w:color="auto"/>
        <w:bottom w:val="none" w:sz="0" w:space="0" w:color="auto"/>
        <w:right w:val="none" w:sz="0" w:space="0" w:color="auto"/>
      </w:divBdr>
    </w:div>
    <w:div w:id="673803363">
      <w:bodyDiv w:val="1"/>
      <w:marLeft w:val="0"/>
      <w:marRight w:val="0"/>
      <w:marTop w:val="0"/>
      <w:marBottom w:val="0"/>
      <w:divBdr>
        <w:top w:val="none" w:sz="0" w:space="0" w:color="auto"/>
        <w:left w:val="none" w:sz="0" w:space="0" w:color="auto"/>
        <w:bottom w:val="none" w:sz="0" w:space="0" w:color="auto"/>
        <w:right w:val="none" w:sz="0" w:space="0" w:color="auto"/>
      </w:divBdr>
    </w:div>
    <w:div w:id="856306864">
      <w:bodyDiv w:val="1"/>
      <w:marLeft w:val="0"/>
      <w:marRight w:val="0"/>
      <w:marTop w:val="0"/>
      <w:marBottom w:val="0"/>
      <w:divBdr>
        <w:top w:val="none" w:sz="0" w:space="0" w:color="auto"/>
        <w:left w:val="none" w:sz="0" w:space="0" w:color="auto"/>
        <w:bottom w:val="none" w:sz="0" w:space="0" w:color="auto"/>
        <w:right w:val="none" w:sz="0" w:space="0" w:color="auto"/>
      </w:divBdr>
    </w:div>
    <w:div w:id="906453764">
      <w:bodyDiv w:val="1"/>
      <w:marLeft w:val="0"/>
      <w:marRight w:val="0"/>
      <w:marTop w:val="0"/>
      <w:marBottom w:val="0"/>
      <w:divBdr>
        <w:top w:val="none" w:sz="0" w:space="0" w:color="auto"/>
        <w:left w:val="none" w:sz="0" w:space="0" w:color="auto"/>
        <w:bottom w:val="none" w:sz="0" w:space="0" w:color="auto"/>
        <w:right w:val="none" w:sz="0" w:space="0" w:color="auto"/>
      </w:divBdr>
    </w:div>
    <w:div w:id="1229462244">
      <w:bodyDiv w:val="1"/>
      <w:marLeft w:val="0"/>
      <w:marRight w:val="0"/>
      <w:marTop w:val="0"/>
      <w:marBottom w:val="0"/>
      <w:divBdr>
        <w:top w:val="none" w:sz="0" w:space="0" w:color="auto"/>
        <w:left w:val="none" w:sz="0" w:space="0" w:color="auto"/>
        <w:bottom w:val="none" w:sz="0" w:space="0" w:color="auto"/>
        <w:right w:val="none" w:sz="0" w:space="0" w:color="auto"/>
      </w:divBdr>
    </w:div>
    <w:div w:id="1232425478">
      <w:bodyDiv w:val="1"/>
      <w:marLeft w:val="0"/>
      <w:marRight w:val="0"/>
      <w:marTop w:val="0"/>
      <w:marBottom w:val="0"/>
      <w:divBdr>
        <w:top w:val="none" w:sz="0" w:space="0" w:color="auto"/>
        <w:left w:val="none" w:sz="0" w:space="0" w:color="auto"/>
        <w:bottom w:val="none" w:sz="0" w:space="0" w:color="auto"/>
        <w:right w:val="none" w:sz="0" w:space="0" w:color="auto"/>
      </w:divBdr>
    </w:div>
    <w:div w:id="1345134517">
      <w:bodyDiv w:val="1"/>
      <w:marLeft w:val="0"/>
      <w:marRight w:val="0"/>
      <w:marTop w:val="0"/>
      <w:marBottom w:val="0"/>
      <w:divBdr>
        <w:top w:val="none" w:sz="0" w:space="0" w:color="auto"/>
        <w:left w:val="none" w:sz="0" w:space="0" w:color="auto"/>
        <w:bottom w:val="none" w:sz="0" w:space="0" w:color="auto"/>
        <w:right w:val="none" w:sz="0" w:space="0" w:color="auto"/>
      </w:divBdr>
    </w:div>
    <w:div w:id="1369256417">
      <w:bodyDiv w:val="1"/>
      <w:marLeft w:val="0"/>
      <w:marRight w:val="0"/>
      <w:marTop w:val="0"/>
      <w:marBottom w:val="0"/>
      <w:divBdr>
        <w:top w:val="none" w:sz="0" w:space="0" w:color="auto"/>
        <w:left w:val="none" w:sz="0" w:space="0" w:color="auto"/>
        <w:bottom w:val="none" w:sz="0" w:space="0" w:color="auto"/>
        <w:right w:val="none" w:sz="0" w:space="0" w:color="auto"/>
      </w:divBdr>
    </w:div>
    <w:div w:id="1536305928">
      <w:bodyDiv w:val="1"/>
      <w:marLeft w:val="0"/>
      <w:marRight w:val="0"/>
      <w:marTop w:val="0"/>
      <w:marBottom w:val="0"/>
      <w:divBdr>
        <w:top w:val="none" w:sz="0" w:space="0" w:color="auto"/>
        <w:left w:val="none" w:sz="0" w:space="0" w:color="auto"/>
        <w:bottom w:val="none" w:sz="0" w:space="0" w:color="auto"/>
        <w:right w:val="none" w:sz="0" w:space="0" w:color="auto"/>
      </w:divBdr>
    </w:div>
    <w:div w:id="1540899580">
      <w:bodyDiv w:val="1"/>
      <w:marLeft w:val="0"/>
      <w:marRight w:val="0"/>
      <w:marTop w:val="0"/>
      <w:marBottom w:val="0"/>
      <w:divBdr>
        <w:top w:val="none" w:sz="0" w:space="0" w:color="auto"/>
        <w:left w:val="none" w:sz="0" w:space="0" w:color="auto"/>
        <w:bottom w:val="none" w:sz="0" w:space="0" w:color="auto"/>
        <w:right w:val="none" w:sz="0" w:space="0" w:color="auto"/>
      </w:divBdr>
    </w:div>
    <w:div w:id="1565484959">
      <w:bodyDiv w:val="1"/>
      <w:marLeft w:val="0"/>
      <w:marRight w:val="0"/>
      <w:marTop w:val="0"/>
      <w:marBottom w:val="0"/>
      <w:divBdr>
        <w:top w:val="none" w:sz="0" w:space="0" w:color="auto"/>
        <w:left w:val="none" w:sz="0" w:space="0" w:color="auto"/>
        <w:bottom w:val="none" w:sz="0" w:space="0" w:color="auto"/>
        <w:right w:val="none" w:sz="0" w:space="0" w:color="auto"/>
      </w:divBdr>
    </w:div>
    <w:div w:id="1639338789">
      <w:bodyDiv w:val="1"/>
      <w:marLeft w:val="0"/>
      <w:marRight w:val="0"/>
      <w:marTop w:val="0"/>
      <w:marBottom w:val="0"/>
      <w:divBdr>
        <w:top w:val="none" w:sz="0" w:space="0" w:color="auto"/>
        <w:left w:val="none" w:sz="0" w:space="0" w:color="auto"/>
        <w:bottom w:val="none" w:sz="0" w:space="0" w:color="auto"/>
        <w:right w:val="none" w:sz="0" w:space="0" w:color="auto"/>
      </w:divBdr>
    </w:div>
    <w:div w:id="1694913661">
      <w:bodyDiv w:val="1"/>
      <w:marLeft w:val="0"/>
      <w:marRight w:val="0"/>
      <w:marTop w:val="0"/>
      <w:marBottom w:val="0"/>
      <w:divBdr>
        <w:top w:val="none" w:sz="0" w:space="0" w:color="auto"/>
        <w:left w:val="none" w:sz="0" w:space="0" w:color="auto"/>
        <w:bottom w:val="none" w:sz="0" w:space="0" w:color="auto"/>
        <w:right w:val="none" w:sz="0" w:space="0" w:color="auto"/>
      </w:divBdr>
    </w:div>
    <w:div w:id="1745057606">
      <w:bodyDiv w:val="1"/>
      <w:marLeft w:val="0"/>
      <w:marRight w:val="0"/>
      <w:marTop w:val="0"/>
      <w:marBottom w:val="0"/>
      <w:divBdr>
        <w:top w:val="none" w:sz="0" w:space="0" w:color="auto"/>
        <w:left w:val="none" w:sz="0" w:space="0" w:color="auto"/>
        <w:bottom w:val="none" w:sz="0" w:space="0" w:color="auto"/>
        <w:right w:val="none" w:sz="0" w:space="0" w:color="auto"/>
      </w:divBdr>
    </w:div>
    <w:div w:id="1756852266">
      <w:bodyDiv w:val="1"/>
      <w:marLeft w:val="0"/>
      <w:marRight w:val="0"/>
      <w:marTop w:val="0"/>
      <w:marBottom w:val="0"/>
      <w:divBdr>
        <w:top w:val="none" w:sz="0" w:space="0" w:color="auto"/>
        <w:left w:val="none" w:sz="0" w:space="0" w:color="auto"/>
        <w:bottom w:val="none" w:sz="0" w:space="0" w:color="auto"/>
        <w:right w:val="none" w:sz="0" w:space="0" w:color="auto"/>
      </w:divBdr>
    </w:div>
    <w:div w:id="1844856401">
      <w:bodyDiv w:val="1"/>
      <w:marLeft w:val="0"/>
      <w:marRight w:val="0"/>
      <w:marTop w:val="0"/>
      <w:marBottom w:val="0"/>
      <w:divBdr>
        <w:top w:val="none" w:sz="0" w:space="0" w:color="auto"/>
        <w:left w:val="none" w:sz="0" w:space="0" w:color="auto"/>
        <w:bottom w:val="none" w:sz="0" w:space="0" w:color="auto"/>
        <w:right w:val="none" w:sz="0" w:space="0" w:color="auto"/>
      </w:divBdr>
    </w:div>
    <w:div w:id="1943342298">
      <w:bodyDiv w:val="1"/>
      <w:marLeft w:val="0"/>
      <w:marRight w:val="0"/>
      <w:marTop w:val="0"/>
      <w:marBottom w:val="0"/>
      <w:divBdr>
        <w:top w:val="none" w:sz="0" w:space="0" w:color="auto"/>
        <w:left w:val="none" w:sz="0" w:space="0" w:color="auto"/>
        <w:bottom w:val="none" w:sz="0" w:space="0" w:color="auto"/>
        <w:right w:val="none" w:sz="0" w:space="0" w:color="auto"/>
      </w:divBdr>
    </w:div>
    <w:div w:id="2035613971">
      <w:bodyDiv w:val="1"/>
      <w:marLeft w:val="0"/>
      <w:marRight w:val="0"/>
      <w:marTop w:val="0"/>
      <w:marBottom w:val="0"/>
      <w:divBdr>
        <w:top w:val="none" w:sz="0" w:space="0" w:color="auto"/>
        <w:left w:val="none" w:sz="0" w:space="0" w:color="auto"/>
        <w:bottom w:val="none" w:sz="0" w:space="0" w:color="auto"/>
        <w:right w:val="none" w:sz="0" w:space="0" w:color="auto"/>
      </w:divBdr>
    </w:div>
    <w:div w:id="2046522177">
      <w:bodyDiv w:val="1"/>
      <w:marLeft w:val="0"/>
      <w:marRight w:val="0"/>
      <w:marTop w:val="0"/>
      <w:marBottom w:val="0"/>
      <w:divBdr>
        <w:top w:val="none" w:sz="0" w:space="0" w:color="auto"/>
        <w:left w:val="none" w:sz="0" w:space="0" w:color="auto"/>
        <w:bottom w:val="none" w:sz="0" w:space="0" w:color="auto"/>
        <w:right w:val="none" w:sz="0" w:space="0" w:color="auto"/>
      </w:divBdr>
    </w:div>
    <w:div w:id="2055041863">
      <w:bodyDiv w:val="1"/>
      <w:marLeft w:val="0"/>
      <w:marRight w:val="0"/>
      <w:marTop w:val="0"/>
      <w:marBottom w:val="0"/>
      <w:divBdr>
        <w:top w:val="none" w:sz="0" w:space="0" w:color="auto"/>
        <w:left w:val="none" w:sz="0" w:space="0" w:color="auto"/>
        <w:bottom w:val="none" w:sz="0" w:space="0" w:color="auto"/>
        <w:right w:val="none" w:sz="0" w:space="0" w:color="auto"/>
      </w:divBdr>
    </w:div>
    <w:div w:id="2059431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linkedin.com/company/rsk-grou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2" Type="http://schemas.openxmlformats.org/officeDocument/2006/relationships/hyperlink" Target="https://protect.checkpoint.com/v2/r02/___https://assets.publishing.service.gov.uk/rjinfd*~*bchf*~*fajc/5ca559ka78k8/dRnqqnts_Mtzwx_Kzsi_Nsyjwnr_Wjutwy_6_KNSFQ.uik___.YzJlOnJza2dyb3VwcGxjOmM6bzplNjBhMTYyMWEyMjZjZWIyNjAzNWMxMTdjZGFjMjUxODo3Ojk0OWI6Yjk4NjgwMTljZWUwODQ2N2Q1MzQwOWQxMjliZjkzY2ZlMmRmZjg0MjQ5OTA5ZTBmODY1YTUzZGMwNWE4ZTA2ZTpwOlQ6VA" TargetMode="External"/><Relationship Id="rId1" Type="http://schemas.openxmlformats.org/officeDocument/2006/relationships/hyperlink" Target="https://protect.checkpoint.com/v2/r02/___https://www.gov.uk/ltAjwsrjsyduzgqnhfyntsxdnrufhyx-tk-fsyn-xthnfq-gjmfAntzw-ts-nsinAnizfqx-fsi-htrrzsnynjxdfsyn-xthnfq-gjmfAntzw-nrufhyx-ts-nsinAnizfqx-fsi-qthfq-htrrzsnynjx___.YzJlOnJza2dyb3VwcGxjOmM6bzplNjBhMTYyMWEyMjZjZWIyNjAzNWMxMTdjZGFjMjUxODo3Ojk1Mjc6MTIzYTdkY2ZmOTU3MzIwNTgyZGIxZTE3ZTc2Yjk0MTlkNWVlZmVlNGE5OTBmZDNlYzhhYTY3MzU2YWRhNTM1MzpwOlQ6VA"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Fortia">
      <a:dk1>
        <a:srgbClr val="000000"/>
      </a:dk1>
      <a:lt1>
        <a:srgbClr val="FFFFFF"/>
      </a:lt1>
      <a:dk2>
        <a:srgbClr val="333333"/>
      </a:dk2>
      <a:lt2>
        <a:srgbClr val="253360"/>
      </a:lt2>
      <a:accent1>
        <a:srgbClr val="E71D73"/>
      </a:accent1>
      <a:accent2>
        <a:srgbClr val="95C11F"/>
      </a:accent2>
      <a:accent3>
        <a:srgbClr val="36749D"/>
      </a:accent3>
      <a:accent4>
        <a:srgbClr val="523E91"/>
      </a:accent4>
      <a:accent5>
        <a:srgbClr val="007C58"/>
      </a:accent5>
      <a:accent6>
        <a:srgbClr val="5EB9E9"/>
      </a:accent6>
      <a:hlink>
        <a:srgbClr val="95C11F"/>
      </a:hlink>
      <a:folHlink>
        <a:srgbClr val="7F7F7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ac1f3ee-c4a4-4fe0-9123-ea6582b3c2b8" xsi:nil="true"/>
    <lcf76f155ced4ddcb4097134ff3c332f xmlns="d68a0351-bcca-4c49-9f41-1669bef79c6a">
      <Terms xmlns="http://schemas.microsoft.com/office/infopath/2007/PartnerControls"/>
    </lcf76f155ced4ddcb4097134ff3c332f>
    <_ApprovalAssignedTo xmlns="d68a0351-bcca-4c49-9f41-1669bef79c6a">
      <UserInfo>
        <DisplayName/>
        <AccountId xsi:nil="true"/>
        <AccountType/>
      </UserInfo>
    </_ApprovalAssignedTo>
    <_ApprovalSentBy xmlns="d68a0351-bcca-4c49-9f41-1669bef79c6a">
      <UserInfo>
        <DisplayName/>
        <AccountId xsi:nil="true"/>
        <AccountType/>
      </UserInfo>
    </_ApprovalSentBy>
    <_ApprovalStatus xmlns="d68a0351-bcca-4c49-9f41-1669bef79c6a">0</_ApprovalStatus>
    <_ApprovalRespondedBy xmlns="d68a0351-bcca-4c49-9f41-1669bef79c6a">
      <UserInfo>
        <DisplayName/>
        <AccountId xsi:nil="true"/>
        <AccountType/>
      </UserInfo>
    </_ApprovalRespondedBy>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3F5777DFC7032488AAEC129339B6D36" ma:contentTypeVersion="17" ma:contentTypeDescription="Create a new document." ma:contentTypeScope="" ma:versionID="0e711cd5ed016100d815c81b15ae03fe">
  <xsd:schema xmlns:xsd="http://www.w3.org/2001/XMLSchema" xmlns:xs="http://www.w3.org/2001/XMLSchema" xmlns:p="http://schemas.microsoft.com/office/2006/metadata/properties" xmlns:ns2="d68a0351-bcca-4c49-9f41-1669bef79c6a" xmlns:ns3="9ac1f3ee-c4a4-4fe0-9123-ea6582b3c2b8" targetNamespace="http://schemas.microsoft.com/office/2006/metadata/properties" ma:root="true" ma:fieldsID="fea5387e6d9b860c62027db6ee56b8a5" ns2:_="" ns3:_="">
    <xsd:import namespace="d68a0351-bcca-4c49-9f41-1669bef79c6a"/>
    <xsd:import namespace="9ac1f3ee-c4a4-4fe0-9123-ea6582b3c2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8a0351-bcca-4c49-9f41-1669bef79c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f2dd975-943e-4a2b-bd50-ee43505297e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_ApprovalAssignedTo" ma:index="21"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2"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3"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4"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ac1f3ee-c4a4-4fe0-9123-ea6582b3c2b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ad9c870-4e6a-4fb2-b2cc-8f10dcb67f8f}" ma:internalName="TaxCatchAll" ma:showField="CatchAllData" ma:web="9ac1f3ee-c4a4-4fe0-9123-ea6582b3c2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A975E9-64B9-4D1C-918A-FD6C8CBB3CE0}">
  <ds:schemaRefs>
    <ds:schemaRef ds:uri="http://schemas.microsoft.com/office/2006/metadata/properties"/>
    <ds:schemaRef ds:uri="http://schemas.microsoft.com/office/infopath/2007/PartnerControls"/>
    <ds:schemaRef ds:uri="9ac1f3ee-c4a4-4fe0-9123-ea6582b3c2b8"/>
    <ds:schemaRef ds:uri="d68a0351-bcca-4c49-9f41-1669bef79c6a"/>
  </ds:schemaRefs>
</ds:datastoreItem>
</file>

<file path=customXml/itemProps2.xml><?xml version="1.0" encoding="utf-8"?>
<ds:datastoreItem xmlns:ds="http://schemas.openxmlformats.org/officeDocument/2006/customXml" ds:itemID="{6C14C7C8-7FFA-4B95-9973-FBFEEFBEBBE6}">
  <ds:schemaRefs>
    <ds:schemaRef ds:uri="http://schemas.openxmlformats.org/officeDocument/2006/bibliography"/>
  </ds:schemaRefs>
</ds:datastoreItem>
</file>

<file path=customXml/itemProps3.xml><?xml version="1.0" encoding="utf-8"?>
<ds:datastoreItem xmlns:ds="http://schemas.openxmlformats.org/officeDocument/2006/customXml" ds:itemID="{F291160C-0824-4D67-BDDA-9A16E221259B}">
  <ds:schemaRefs>
    <ds:schemaRef ds:uri="http://schemas.microsoft.com/sharepoint/v3/contenttype/forms"/>
  </ds:schemaRefs>
</ds:datastoreItem>
</file>

<file path=customXml/itemProps4.xml><?xml version="1.0" encoding="utf-8"?>
<ds:datastoreItem xmlns:ds="http://schemas.openxmlformats.org/officeDocument/2006/customXml" ds:itemID="{CDE1268A-529F-460D-8CB4-05122FA8B2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8a0351-bcca-4c49-9f41-1669bef79c6a"/>
    <ds:schemaRef ds:uri="9ac1f3ee-c4a4-4fe0-9123-ea6582b3c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4649</Words>
  <Characters>26505</Characters>
  <Application>Microsoft Office Word</Application>
  <DocSecurity>0</DocSecurity>
  <Lines>220</Lines>
  <Paragraphs>62</Paragraphs>
  <ScaleCrop>false</ScaleCrop>
  <Company>RSKENSR Group</Company>
  <LinksUpToDate>false</LinksUpToDate>
  <CharactersWithSpaces>31092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RSK tender template</dc:title>
  <dc:subject/>
  <dc:creator>Lynne Tudor</dc:creator>
  <cp:keywords/>
  <cp:lastModifiedBy>Liam Kearney-Fitzgerald</cp:lastModifiedBy>
  <cp:revision>37</cp:revision>
  <cp:lastPrinted>2024-12-02T22:46:00Z</cp:lastPrinted>
  <dcterms:created xsi:type="dcterms:W3CDTF">2026-05-28T09:56:00Z</dcterms:created>
  <dcterms:modified xsi:type="dcterms:W3CDTF">2026-06-04T12:42:00Z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temOrder">
    <vt:lpwstr/>
  </property>
  <property fmtid="{D5CDD505-2E9C-101B-9397-08002B2CF9AE}" pid="3" name="ContentTypeId">
    <vt:lpwstr>0x01010003F5777DFC7032488AAEC129339B6D36</vt:lpwstr>
  </property>
  <property fmtid="{D5CDD505-2E9C-101B-9397-08002B2CF9AE}" pid="4" name="MediaServiceImageTags">
    <vt:lpwstr/>
  </property>
  <property fmtid="{D5CDD505-2E9C-101B-9397-08002B2CF9AE}" pid="5" name="GrammarlyDocumentId">
    <vt:lpwstr>3ad038e9-e579-41e5-aa97-b341318b3063</vt:lpwstr>
  </property>
  <property fmtid="{D5CDD505-2E9C-101B-9397-08002B2CF9AE}" pid="6" name="docLang">
    <vt:lpwstr>en</vt:lpwstr>
  </property>
</Properties>
</file>