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F57BB" w14:textId="66D06B32" w:rsidR="00C17AEA" w:rsidRPr="00E77E55" w:rsidRDefault="00C17AEA" w:rsidP="00701BB3">
      <w:pPr>
        <w:pStyle w:val="Heading1"/>
      </w:pPr>
      <w:r w:rsidRPr="00E77E55">
        <w:t xml:space="preserve">Community Wealth Fund </w:t>
      </w:r>
      <w:r w:rsidR="001A1E1E">
        <w:t>a</w:t>
      </w:r>
      <w:r w:rsidRPr="00E77E55">
        <w:t xml:space="preserve">rea </w:t>
      </w:r>
      <w:r w:rsidR="001A1E1E">
        <w:t>s</w:t>
      </w:r>
      <w:r w:rsidRPr="00E77E55">
        <w:t xml:space="preserve">election </w:t>
      </w:r>
      <w:r w:rsidR="001A1E1E">
        <w:t>m</w:t>
      </w:r>
      <w:r w:rsidRPr="00E77E55">
        <w:t xml:space="preserve">ethodology - </w:t>
      </w:r>
      <w:r w:rsidR="001A1E1E">
        <w:t>e</w:t>
      </w:r>
      <w:r w:rsidRPr="00E77E55">
        <w:t>xecutive summary</w:t>
      </w:r>
    </w:p>
    <w:p w14:paraId="51EA786C" w14:textId="77777777" w:rsidR="009F528B" w:rsidRPr="009F528B" w:rsidRDefault="009F528B" w:rsidP="002329DA"/>
    <w:p w14:paraId="5A5572D4" w14:textId="77777777" w:rsidR="00C17AEA" w:rsidRPr="00701BB3" w:rsidRDefault="00C17AEA" w:rsidP="00701BB3">
      <w:pPr>
        <w:pStyle w:val="Heading2"/>
      </w:pPr>
      <w:r w:rsidRPr="00701BB3">
        <w:t>Introduction to The Community Wealth Fund</w:t>
      </w:r>
    </w:p>
    <w:p w14:paraId="1B231D50" w14:textId="2FEC3CC1" w:rsidR="00C17AEA" w:rsidRPr="002329DA" w:rsidRDefault="7532A828" w:rsidP="002329DA">
      <w:r w:rsidRPr="002329DA">
        <w:t xml:space="preserve">The </w:t>
      </w:r>
      <w:hyperlink r:id="rId10">
        <w:r w:rsidRPr="002329DA">
          <w:rPr>
            <w:rStyle w:val="Hyperlink"/>
            <w:b w:val="0"/>
            <w:color w:val="auto"/>
            <w:u w:val="none"/>
          </w:rPr>
          <w:t>Community Wealth Fund (CWF)</w:t>
        </w:r>
      </w:hyperlink>
      <w:r w:rsidRPr="002329DA">
        <w:t xml:space="preserve"> is a £175 million programme that will provide long-term investment to 60 neighbourhoods across England. Each community will receive around £2.55 million over </w:t>
      </w:r>
      <w:r w:rsidR="001A12AD">
        <w:t>10</w:t>
      </w:r>
      <w:r w:rsidRPr="002329DA">
        <w:t xml:space="preserve"> years, alongside capacity-building support, helping residents strengthen local social infrastructure and shape the future of their area. </w:t>
      </w:r>
    </w:p>
    <w:p w14:paraId="2D2847ED" w14:textId="708DDD03" w:rsidR="00C17AEA" w:rsidRPr="002329DA" w:rsidRDefault="00C17AEA" w:rsidP="002329DA">
      <w:r w:rsidRPr="002329DA">
        <w:t xml:space="preserve">The programme, jointly funded by The National Lottery Community Fund and the Dormant </w:t>
      </w:r>
      <w:r w:rsidR="000C5FD6" w:rsidRPr="002329DA">
        <w:t>Assets</w:t>
      </w:r>
      <w:r w:rsidRPr="002329DA">
        <w:t xml:space="preserve"> Scheme, was created to support communities facing some of the greatest challenges but which have often had fewer opportunities to influence change. It is based on the belief that local people are best placed to identify what their communities need and that long-term investment can help build stronger local organisations, networks and opportunities. </w:t>
      </w:r>
    </w:p>
    <w:p w14:paraId="7D5C1BF8" w14:textId="77777777" w:rsidR="00C17AEA" w:rsidRPr="00480618" w:rsidRDefault="00C17AEA" w:rsidP="00C17AEA">
      <w:pPr>
        <w:pStyle w:val="BodyCopy-TNLCF"/>
        <w:rPr>
          <w:lang w:eastAsia="en-US"/>
        </w:rPr>
      </w:pPr>
    </w:p>
    <w:p w14:paraId="51AA073B" w14:textId="77777777" w:rsidR="00C17AEA" w:rsidRPr="00480618" w:rsidRDefault="00C17AEA" w:rsidP="00701BB3">
      <w:pPr>
        <w:pStyle w:val="Heading2"/>
      </w:pPr>
      <w:r w:rsidRPr="00480618">
        <w:t>Choosing the areas</w:t>
      </w:r>
    </w:p>
    <w:p w14:paraId="02E4524E" w14:textId="075B8C37" w:rsidR="00C17AEA" w:rsidRPr="00480618" w:rsidRDefault="00C17AEA" w:rsidP="002329DA">
      <w:pPr>
        <w:pStyle w:val="BodyCopy-TNLCF"/>
        <w:rPr>
          <w:b/>
        </w:rPr>
      </w:pPr>
      <w:r w:rsidRPr="00480618">
        <w:t>One of the first decisions for the programme was identifying which 60 neighbourhoods should receive investment. We wanted funding to reach places experiencing the greatest need while also ensuring communities across England could benefit. This summary explains</w:t>
      </w:r>
      <w:r w:rsidR="007C33AC">
        <w:t xml:space="preserve"> </w:t>
      </w:r>
      <w:r w:rsidRPr="00480618">
        <w:t xml:space="preserve">how those decisions were made. </w:t>
      </w:r>
    </w:p>
    <w:p w14:paraId="300C9CF5" w14:textId="63307AA3" w:rsidR="002E6A79" w:rsidRPr="00845FF4" w:rsidRDefault="5633B352" w:rsidP="002329DA">
      <w:pPr>
        <w:rPr>
          <w:b/>
        </w:rPr>
      </w:pPr>
      <w:r w:rsidRPr="501BB627">
        <w:t xml:space="preserve">The programme is primarily focused on neighbourhoods </w:t>
      </w:r>
      <w:r w:rsidR="66D21A5C" w:rsidRPr="501BB627">
        <w:t>with high levels of deprivation and low levels of social capital</w:t>
      </w:r>
      <w:r w:rsidR="394CD886" w:rsidRPr="501BB627">
        <w:t xml:space="preserve"> – </w:t>
      </w:r>
      <w:r w:rsidR="48536B77" w:rsidRPr="501BB627">
        <w:t xml:space="preserve">a combination of measures </w:t>
      </w:r>
      <w:r w:rsidR="394CD886" w:rsidRPr="501BB627">
        <w:t>sometimes referred to as ‘doubl</w:t>
      </w:r>
      <w:r w:rsidR="48536B77" w:rsidRPr="501BB627">
        <w:t>e</w:t>
      </w:r>
      <w:r w:rsidR="394CD886" w:rsidRPr="501BB627">
        <w:t xml:space="preserve"> disadvantaged’</w:t>
      </w:r>
      <w:r w:rsidR="342EB24B" w:rsidRPr="501BB627">
        <w:t xml:space="preserve">. </w:t>
      </w:r>
      <w:r w:rsidR="394CD886">
        <w:t xml:space="preserve">This is measured via the </w:t>
      </w:r>
      <w:hyperlink r:id="rId11">
        <w:r w:rsidR="394CD886" w:rsidRPr="501BB627">
          <w:rPr>
            <w:rStyle w:val="Hyperlink"/>
          </w:rPr>
          <w:t>Index of Multiple Deprivation</w:t>
        </w:r>
      </w:hyperlink>
      <w:r w:rsidR="394CD886">
        <w:t xml:space="preserve"> (IMD) and the </w:t>
      </w:r>
      <w:hyperlink r:id="rId12">
        <w:r w:rsidR="394CD886" w:rsidRPr="501BB627">
          <w:rPr>
            <w:rStyle w:val="Hyperlink"/>
          </w:rPr>
          <w:t>Community Needs Index</w:t>
        </w:r>
      </w:hyperlink>
      <w:r w:rsidR="394CD886">
        <w:t xml:space="preserve"> (CNI) records. This measurement was devised by the </w:t>
      </w:r>
      <w:hyperlink r:id="rId13">
        <w:r w:rsidR="394CD886" w:rsidRPr="501BB627">
          <w:rPr>
            <w:rStyle w:val="Hyperlink"/>
          </w:rPr>
          <w:t>Local Trust</w:t>
        </w:r>
      </w:hyperlink>
      <w:r w:rsidR="394CD886">
        <w:t xml:space="preserve"> and identifies 197 neighbourhoods as double disadvantaged.</w:t>
      </w:r>
    </w:p>
    <w:p w14:paraId="6EEE1D72" w14:textId="35309970" w:rsidR="002E6A79" w:rsidRPr="002E6A79" w:rsidRDefault="002E6A79" w:rsidP="002329DA">
      <w:pPr>
        <w:rPr>
          <w:b/>
        </w:rPr>
      </w:pPr>
      <w:r w:rsidRPr="002E6A79">
        <w:t xml:space="preserve">The term </w:t>
      </w:r>
      <w:r w:rsidR="00DA505E">
        <w:rPr>
          <w:b/>
        </w:rPr>
        <w:t>‘</w:t>
      </w:r>
      <w:r w:rsidRPr="005539E4">
        <w:t>double disadvantage</w:t>
      </w:r>
      <w:r w:rsidR="00DA505E">
        <w:rPr>
          <w:b/>
        </w:rPr>
        <w:t>’</w:t>
      </w:r>
      <w:r w:rsidRPr="002E6A79">
        <w:t xml:space="preserve"> is used solely to identify eligible areas based on measures of need. We recognise these communities as places of significant strengths, assets and potential, with residents who are well placed to lead the changes they wish to see.</w:t>
      </w:r>
    </w:p>
    <w:p w14:paraId="169F29B2" w14:textId="59622AB1" w:rsidR="00C17AEA" w:rsidRPr="00480618" w:rsidRDefault="00C17AEA" w:rsidP="002329DA">
      <w:pPr>
        <w:rPr>
          <w:b/>
        </w:rPr>
      </w:pPr>
      <w:r w:rsidRPr="00480618">
        <w:t xml:space="preserve">However, selecting 60 neighbourhoods involved more than simply choosing the highest-ranked places in England. We also wanted to ensure communities from different parts of the country were represented and that the final portfolio reflected different types of </w:t>
      </w:r>
      <w:r w:rsidR="00845FF4" w:rsidRPr="00480618">
        <w:t>places</w:t>
      </w:r>
      <w:r w:rsidRPr="00480618">
        <w:t xml:space="preserve">, including coastal communities, post-industrial areas and urban neighbourhoods. </w:t>
      </w:r>
    </w:p>
    <w:p w14:paraId="730F4B92" w14:textId="448E8F86" w:rsidR="00C17AEA" w:rsidRPr="00480618" w:rsidRDefault="00EC18FF" w:rsidP="002329DA">
      <w:pPr>
        <w:rPr>
          <w:b/>
        </w:rPr>
      </w:pPr>
      <w:r>
        <w:t>3</w:t>
      </w:r>
      <w:r w:rsidR="00C17AEA" w:rsidRPr="00480618">
        <w:t xml:space="preserve"> principles guided our approach:</w:t>
      </w:r>
    </w:p>
    <w:p w14:paraId="2CD320A8" w14:textId="77777777" w:rsidR="00C17AEA" w:rsidRPr="00480618" w:rsidRDefault="00C17AEA" w:rsidP="002329DA">
      <w:pPr>
        <w:pStyle w:val="ListParagraph"/>
        <w:numPr>
          <w:ilvl w:val="0"/>
          <w:numId w:val="2"/>
        </w:numPr>
      </w:pPr>
      <w:r w:rsidRPr="00480618">
        <w:t>Need – prioritising communities experiencing the greatest levels of deprivation and weakest social infrastructure.</w:t>
      </w:r>
    </w:p>
    <w:p w14:paraId="3A988B99" w14:textId="77777777" w:rsidR="00C17AEA" w:rsidRPr="00480618" w:rsidRDefault="00C17AEA" w:rsidP="002329DA">
      <w:pPr>
        <w:pStyle w:val="ListParagraph"/>
        <w:numPr>
          <w:ilvl w:val="0"/>
          <w:numId w:val="2"/>
        </w:numPr>
        <w:rPr>
          <w:b/>
        </w:rPr>
      </w:pPr>
      <w:r w:rsidRPr="00480618">
        <w:t>Equity – recognising that need is experienced differently by different communities and groups.</w:t>
      </w:r>
    </w:p>
    <w:p w14:paraId="093039C3" w14:textId="77777777" w:rsidR="00C17AEA" w:rsidRPr="00480618" w:rsidRDefault="00C17AEA" w:rsidP="002329DA">
      <w:pPr>
        <w:pStyle w:val="ListParagraph"/>
        <w:numPr>
          <w:ilvl w:val="0"/>
          <w:numId w:val="2"/>
        </w:numPr>
      </w:pPr>
      <w:r w:rsidRPr="00480618">
        <w:t xml:space="preserve">Variation – ensuring the programme included different regions and types of </w:t>
      </w:r>
      <w:proofErr w:type="gramStart"/>
      <w:r w:rsidRPr="00480618">
        <w:t>neighbourhood</w:t>
      </w:r>
      <w:proofErr w:type="gramEnd"/>
      <w:r w:rsidRPr="00480618">
        <w:t xml:space="preserve"> across England.</w:t>
      </w:r>
    </w:p>
    <w:p w14:paraId="7B995E24" w14:textId="23A123A7" w:rsidR="009B3CF8" w:rsidRDefault="00592D37" w:rsidP="002329DA">
      <w:pPr>
        <w:rPr>
          <w:b/>
        </w:rPr>
      </w:pPr>
      <w:r>
        <w:br/>
      </w:r>
      <w:r w:rsidR="2981A9E6">
        <w:t xml:space="preserve">Our selection approach was also informed </w:t>
      </w:r>
      <w:r w:rsidR="1A3AC977">
        <w:t xml:space="preserve">by </w:t>
      </w:r>
      <w:hyperlink r:id="rId14">
        <w:r w:rsidR="00DA505E">
          <w:rPr>
            <w:rStyle w:val="Hyperlink"/>
          </w:rPr>
          <w:t>p</w:t>
        </w:r>
        <w:r w:rsidR="0D2D8949" w:rsidRPr="501BB627">
          <w:rPr>
            <w:rStyle w:val="Hyperlink"/>
          </w:rPr>
          <w:t>rogramme design principles published by the government</w:t>
        </w:r>
      </w:hyperlink>
      <w:r w:rsidR="1A3AC977">
        <w:t>. These include</w:t>
      </w:r>
      <w:r w:rsidR="6F6FFD83">
        <w:t>:</w:t>
      </w:r>
    </w:p>
    <w:p w14:paraId="78D9257D" w14:textId="2FA640C0" w:rsidR="00CA5B30" w:rsidRDefault="09D4C6B9" w:rsidP="002329DA">
      <w:pPr>
        <w:pStyle w:val="ListParagraph"/>
        <w:numPr>
          <w:ilvl w:val="0"/>
          <w:numId w:val="3"/>
        </w:numPr>
        <w:rPr>
          <w:b/>
        </w:rPr>
      </w:pPr>
      <w:r>
        <w:t>Targeting</w:t>
      </w:r>
      <w:r w:rsidR="648D8748">
        <w:t xml:space="preserve"> </w:t>
      </w:r>
      <w:r w:rsidR="607C3D46">
        <w:t xml:space="preserve">a larger number of communities with </w:t>
      </w:r>
      <w:r>
        <w:t>smaller pots of funding each to achieve greater breadth</w:t>
      </w:r>
    </w:p>
    <w:p w14:paraId="6227F85F" w14:textId="66F0EAD7" w:rsidR="00C26E37" w:rsidRDefault="22DF313F" w:rsidP="002329DA">
      <w:pPr>
        <w:pStyle w:val="ListParagraph"/>
        <w:numPr>
          <w:ilvl w:val="0"/>
          <w:numId w:val="3"/>
        </w:numPr>
      </w:pPr>
      <w:r>
        <w:t>No baseline requirement for existing infrastructure</w:t>
      </w:r>
      <w:r w:rsidR="208E7917">
        <w:t xml:space="preserve">, the programme will provide support </w:t>
      </w:r>
      <w:r w:rsidR="0B65CBF6">
        <w:t xml:space="preserve">to help communities </w:t>
      </w:r>
      <w:r w:rsidR="4DFB3881">
        <w:t>develop.</w:t>
      </w:r>
    </w:p>
    <w:p w14:paraId="7226F361" w14:textId="1484D9DA" w:rsidR="00C26E37" w:rsidRDefault="68F9045B" w:rsidP="002329DA">
      <w:pPr>
        <w:pStyle w:val="ListParagraph"/>
        <w:numPr>
          <w:ilvl w:val="0"/>
          <w:numId w:val="3"/>
        </w:numPr>
        <w:rPr>
          <w:b/>
        </w:rPr>
      </w:pPr>
      <w:r>
        <w:t xml:space="preserve"> </w:t>
      </w:r>
      <w:r w:rsidR="4DFB3881">
        <w:t>D</w:t>
      </w:r>
      <w:r>
        <w:t xml:space="preserve">irect allocation of funding to areas rather than competitive bidding, </w:t>
      </w:r>
    </w:p>
    <w:p w14:paraId="5612095A" w14:textId="665082CC" w:rsidR="00BC0555" w:rsidRDefault="7ACE489F" w:rsidP="002329DA">
      <w:pPr>
        <w:pStyle w:val="ListParagraph"/>
        <w:numPr>
          <w:ilvl w:val="0"/>
          <w:numId w:val="3"/>
        </w:numPr>
        <w:rPr>
          <w:b/>
        </w:rPr>
      </w:pPr>
      <w:r>
        <w:t xml:space="preserve">Ensuring a focus on need in selection, while </w:t>
      </w:r>
      <w:r w:rsidR="3F355351">
        <w:t>also having a spread of areas across England</w:t>
      </w:r>
      <w:r w:rsidR="00A87299">
        <w:t>.</w:t>
      </w:r>
    </w:p>
    <w:p w14:paraId="67593F93" w14:textId="00E6AD11" w:rsidR="00D82D83" w:rsidRPr="00037F9B" w:rsidRDefault="130D414D" w:rsidP="002329DA">
      <w:pPr>
        <w:pStyle w:val="ListParagraph"/>
        <w:numPr>
          <w:ilvl w:val="0"/>
          <w:numId w:val="3"/>
        </w:numPr>
        <w:rPr>
          <w:b/>
        </w:rPr>
      </w:pPr>
      <w:r>
        <w:t>Selecting areas with a population of between 5,000 and 15,000 people</w:t>
      </w:r>
      <w:r w:rsidR="11CDA7E9">
        <w:t>, with a preference for 5,000</w:t>
      </w:r>
      <w:r w:rsidR="00062204">
        <w:t xml:space="preserve"> to </w:t>
      </w:r>
      <w:r w:rsidR="11CDA7E9">
        <w:t>10,000</w:t>
      </w:r>
      <w:r>
        <w:t xml:space="preserve">. </w:t>
      </w:r>
      <w:r w:rsidR="335B19FD">
        <w:t xml:space="preserve">This resulted in the use of </w:t>
      </w:r>
      <w:r w:rsidR="68F9045B">
        <w:t>Middle Layer Super Output Areas (MSOAs) as</w:t>
      </w:r>
      <w:r w:rsidR="335B19FD">
        <w:t xml:space="preserve"> </w:t>
      </w:r>
      <w:r w:rsidR="5FCD1D64">
        <w:t>the area for</w:t>
      </w:r>
      <w:r w:rsidR="335B19FD">
        <w:t xml:space="preserve"> selection</w:t>
      </w:r>
      <w:r w:rsidR="00FE1425">
        <w:t>,</w:t>
      </w:r>
      <w:r w:rsidR="68F9045B">
        <w:t xml:space="preserve"> because almost all have populations within the required range</w:t>
      </w:r>
      <w:r w:rsidR="0075E582">
        <w:t>.</w:t>
      </w:r>
      <w:r w:rsidR="68F9045B">
        <w:t xml:space="preserve"> </w:t>
      </w:r>
    </w:p>
    <w:p w14:paraId="50651382" w14:textId="77777777" w:rsidR="00C17AEA" w:rsidRPr="00701BB3" w:rsidRDefault="00C17AEA" w:rsidP="00701BB3">
      <w:pPr>
        <w:pStyle w:val="Heading3"/>
      </w:pPr>
      <w:r w:rsidRPr="00701BB3">
        <w:t xml:space="preserve">How the areas were chosen </w:t>
      </w:r>
    </w:p>
    <w:p w14:paraId="50AA4BCD" w14:textId="24C3569D" w:rsidR="00C17AEA" w:rsidRPr="00480618" w:rsidRDefault="5633B352" w:rsidP="002329DA">
      <w:pPr>
        <w:rPr>
          <w:b/>
        </w:rPr>
      </w:pPr>
      <w:r w:rsidRPr="501BB627">
        <w:t xml:space="preserve">To create the final list of 60 places, we used a </w:t>
      </w:r>
      <w:r w:rsidR="00735EEF">
        <w:t>4-stage</w:t>
      </w:r>
      <w:r w:rsidRPr="501BB627">
        <w:t xml:space="preserve"> process that combined national data with local knowledge and structured decision-making</w:t>
      </w:r>
      <w:r w:rsidR="651E5EDC" w:rsidRPr="501BB627">
        <w:t xml:space="preserve"> delivered in panel</w:t>
      </w:r>
      <w:r w:rsidR="2174C25F" w:rsidRPr="501BB627">
        <w:t>s for each region and at the England level</w:t>
      </w:r>
      <w:r w:rsidRPr="501BB627">
        <w:t>. This ensured decisions were not driven solely by statistics and allowed us to consider wider evidence about communities, geography and opportunity.</w:t>
      </w:r>
    </w:p>
    <w:p w14:paraId="302ACEB1" w14:textId="0CE0D11B" w:rsidR="00C17AEA" w:rsidRPr="00480618" w:rsidRDefault="00C17AEA" w:rsidP="002329DA">
      <w:pPr>
        <w:rPr>
          <w:b/>
        </w:rPr>
      </w:pPr>
      <w:r w:rsidRPr="00480618">
        <w:t xml:space="preserve">The selection process had </w:t>
      </w:r>
      <w:r w:rsidR="00735EEF">
        <w:t>4</w:t>
      </w:r>
      <w:r w:rsidRPr="00480618">
        <w:t xml:space="preserve"> stages:</w:t>
      </w:r>
    </w:p>
    <w:p w14:paraId="75482042" w14:textId="0A2B4EB6" w:rsidR="00C17AEA" w:rsidRPr="00A6031F" w:rsidRDefault="00C17AEA" w:rsidP="00A6031F">
      <w:pPr>
        <w:pStyle w:val="Heading4"/>
      </w:pPr>
      <w:r w:rsidRPr="00A6031F">
        <w:t>1. Set the number of areas allocated to each England region</w:t>
      </w:r>
    </w:p>
    <w:p w14:paraId="6B0A7A83" w14:textId="41B6CB57" w:rsidR="00C17AEA" w:rsidRPr="00480618" w:rsidRDefault="00C17AEA" w:rsidP="002329DA">
      <w:pPr>
        <w:rPr>
          <w:b/>
        </w:rPr>
      </w:pPr>
      <w:r w:rsidRPr="00480618">
        <w:t xml:space="preserve">While need was the most important factor, we also wanted communities from every region of England to benefit from the programme. We therefore used a model </w:t>
      </w:r>
      <w:r w:rsidR="00C948D0">
        <w:t>with an</w:t>
      </w:r>
      <w:r w:rsidR="00C948D0" w:rsidRPr="00C948D0">
        <w:t xml:space="preserve"> 80:20 weighting between double disadvantage </w:t>
      </w:r>
      <w:r w:rsidR="00C948D0" w:rsidRPr="7793E8FE">
        <w:t>and</w:t>
      </w:r>
      <w:r w:rsidR="00C948D0" w:rsidRPr="00C948D0">
        <w:t xml:space="preserve"> population.</w:t>
      </w:r>
      <w:r w:rsidRPr="00480618">
        <w:t xml:space="preserve"> This helped ensure funding remained focused on the most disadvantaged places while achieving a balanced national spread.</w:t>
      </w:r>
    </w:p>
    <w:p w14:paraId="0C0ADB38" w14:textId="544F1D3B" w:rsidR="00C17AEA" w:rsidRDefault="00C17AEA" w:rsidP="002329DA">
      <w:pPr>
        <w:rPr>
          <w:b/>
        </w:rPr>
      </w:pPr>
      <w:r w:rsidRPr="00480618">
        <w:t>Areas announced to receive</w:t>
      </w:r>
      <w:r w:rsidRPr="00D46A1D">
        <w:t xml:space="preserve"> </w:t>
      </w:r>
      <w:hyperlink r:id="rId15">
        <w:r w:rsidRPr="00D46A1D">
          <w:rPr>
            <w:rStyle w:val="Hyperlink"/>
            <w:rFonts w:cs="Arial"/>
          </w:rPr>
          <w:t>Pride in Place Phase 2</w:t>
        </w:r>
      </w:hyperlink>
      <w:r w:rsidR="00D46A1D">
        <w:t xml:space="preserve"> </w:t>
      </w:r>
      <w:r w:rsidRPr="00480618">
        <w:t>funding were excluded</w:t>
      </w:r>
      <w:r w:rsidRPr="00480618">
        <w:rPr>
          <w:rStyle w:val="FootnoteReference"/>
          <w:rFonts w:cs="Arial"/>
        </w:rPr>
        <w:footnoteReference w:id="1"/>
      </w:r>
      <w:r w:rsidRPr="00480618">
        <w:t xml:space="preserve">. This was to address concerns that supporting both programmes in the same locations could place excessive demands on local community capacity. </w:t>
      </w:r>
      <w:r w:rsidR="00B338D0">
        <w:t xml:space="preserve">However, there was a recognition that some communities in receipt of Pride in Place 2 funding may change their boundaries, which may mean overlap with CWF chosen areas in some instances. </w:t>
      </w:r>
      <w:r w:rsidR="00B338D0" w:rsidRPr="00480618">
        <w:t>Overlap with areas that received Pride in Place Phase 1 funding was considered less problematic because these covered larger geographic areas. This reduced the likelihood of direct overlap</w:t>
      </w:r>
      <w:r w:rsidR="00B338D0">
        <w:t xml:space="preserve">. </w:t>
      </w:r>
      <w:r w:rsidRPr="00480618">
        <w:t xml:space="preserve">This reduced the eligible double-disadvantaged pool from 197 to 121. </w:t>
      </w:r>
    </w:p>
    <w:p w14:paraId="1788AEEA" w14:textId="3A7763AD" w:rsidR="00C17AEA" w:rsidRPr="00480618" w:rsidRDefault="00C17AEA" w:rsidP="00A6031F">
      <w:pPr>
        <w:pStyle w:val="Heading4"/>
      </w:pPr>
      <w:r w:rsidRPr="00480618">
        <w:t>2. Create regional longlists using quantitative evidence</w:t>
      </w:r>
    </w:p>
    <w:p w14:paraId="71AB09FE" w14:textId="447BCF8E" w:rsidR="00C17AEA" w:rsidRPr="00480618" w:rsidRDefault="00C17AEA" w:rsidP="002329DA">
      <w:pPr>
        <w:rPr>
          <w:b/>
        </w:rPr>
      </w:pPr>
      <w:r w:rsidRPr="00480618">
        <w:t xml:space="preserve">A longlist of 107 areas was then created to allow enough scope for panels to review areas based on wider evidence of need, equity and variation. </w:t>
      </w:r>
    </w:p>
    <w:p w14:paraId="49AB3DF3" w14:textId="7A214116" w:rsidR="00C17AEA" w:rsidRPr="00480618" w:rsidRDefault="5633B352" w:rsidP="002329DA">
      <w:pPr>
        <w:rPr>
          <w:b/>
        </w:rPr>
      </w:pPr>
      <w:r w:rsidRPr="501BB627">
        <w:t xml:space="preserve">However, some regions did not contain enough eligible areas for the longlist. It was necessary to </w:t>
      </w:r>
      <w:r w:rsidR="00F1472F">
        <w:t xml:space="preserve">sometimes </w:t>
      </w:r>
      <w:r w:rsidRPr="501BB627">
        <w:t>move</w:t>
      </w:r>
      <w:r w:rsidR="00F1472F">
        <w:t xml:space="preserve"> just</w:t>
      </w:r>
      <w:r w:rsidRPr="501BB627">
        <w:t xml:space="preserve"> outside of the identified list of 197 double disadvantage areas.  All 6,856 English MSOAs were ranked using combined IMD and CNI scores. This identified the highest-need neighbourhoods in each England region.</w:t>
      </w:r>
    </w:p>
    <w:p w14:paraId="497463AD" w14:textId="64146F81" w:rsidR="00C17AEA" w:rsidRPr="00480618" w:rsidRDefault="00C17AEA" w:rsidP="00A6031F">
      <w:pPr>
        <w:pStyle w:val="Heading4"/>
      </w:pPr>
      <w:r w:rsidRPr="00480618">
        <w:t>3. Assess areas through regional and England-wide panels</w:t>
      </w:r>
    </w:p>
    <w:p w14:paraId="1120B9DE" w14:textId="77777777" w:rsidR="00C17AEA" w:rsidRPr="00480618" w:rsidRDefault="00C17AEA" w:rsidP="002329DA">
      <w:pPr>
        <w:rPr>
          <w:b/>
        </w:rPr>
      </w:pPr>
      <w:r w:rsidRPr="00480618">
        <w:t>Panels assessed the longlisted areas using deprivation and community-needs data, demographic evidence, area type, geographic spread and current local knowledge. This reduced the longlist to 60 recommended areas.</w:t>
      </w:r>
    </w:p>
    <w:p w14:paraId="2F874135" w14:textId="71EB995C" w:rsidR="00C17AEA" w:rsidRPr="00480618" w:rsidRDefault="00C17AEA" w:rsidP="00A6031F">
      <w:pPr>
        <w:pStyle w:val="Heading4"/>
      </w:pPr>
      <w:r w:rsidRPr="00480618">
        <w:t>4. Submit recommendations to the England Committee for final decisions</w:t>
      </w:r>
    </w:p>
    <w:p w14:paraId="2FDE75B3" w14:textId="0AFE9816" w:rsidR="00C17AEA" w:rsidRPr="004B11BC" w:rsidRDefault="5633B352" w:rsidP="004B11BC">
      <w:pPr>
        <w:rPr>
          <w:b/>
        </w:rPr>
      </w:pPr>
      <w:r w:rsidRPr="501BB627">
        <w:t xml:space="preserve">The final stage was to submit the proposed list of 60 areas to the Fund’s England Committee </w:t>
      </w:r>
      <w:r w:rsidR="01F4217B" w:rsidRPr="501BB627">
        <w:t>for</w:t>
      </w:r>
      <w:r w:rsidRPr="501BB627">
        <w:t xml:space="preserve"> formal signoff. </w:t>
      </w:r>
    </w:p>
    <w:p w14:paraId="045613A5" w14:textId="77777777" w:rsidR="00C17AEA" w:rsidRPr="00480618" w:rsidRDefault="00C17AEA" w:rsidP="00701BB3">
      <w:pPr>
        <w:pStyle w:val="Heading2"/>
      </w:pPr>
      <w:r w:rsidRPr="00480618">
        <w:t>What the selection process produced</w:t>
      </w:r>
    </w:p>
    <w:p w14:paraId="753C5C95" w14:textId="77777777" w:rsidR="00C17AEA" w:rsidRPr="00480618" w:rsidRDefault="00C17AEA" w:rsidP="002329DA">
      <w:pPr>
        <w:rPr>
          <w:b/>
        </w:rPr>
      </w:pPr>
      <w:r w:rsidRPr="00480618">
        <w:t>The final portfolio contains 60 neighbourhoods across all regions of England. It remains strongly focused on the communities the programme was designed to reach while also achieving a broad geographic spread and a mix of community types.</w:t>
      </w:r>
    </w:p>
    <w:p w14:paraId="27B8B073" w14:textId="77777777" w:rsidR="00C17AEA" w:rsidRPr="00480618" w:rsidRDefault="00C17AEA" w:rsidP="002329DA">
      <w:pPr>
        <w:rPr>
          <w:b/>
        </w:rPr>
      </w:pPr>
      <w:r w:rsidRPr="00480618">
        <w:t>Key outcomes from the selection process include:</w:t>
      </w:r>
    </w:p>
    <w:p w14:paraId="7355EA0A" w14:textId="77777777" w:rsidR="00C17AEA" w:rsidRPr="00480618" w:rsidRDefault="00C17AEA" w:rsidP="002329DA">
      <w:pPr>
        <w:pStyle w:val="ListParagraph"/>
        <w:numPr>
          <w:ilvl w:val="0"/>
          <w:numId w:val="1"/>
        </w:numPr>
        <w:rPr>
          <w:b/>
        </w:rPr>
      </w:pPr>
      <w:r w:rsidRPr="00480618">
        <w:t>55 of the 60 selected neighbourhoods (92%) meet Local Trust's definition of double disadvantage.</w:t>
      </w:r>
    </w:p>
    <w:p w14:paraId="42007FAA" w14:textId="77777777" w:rsidR="00C17AEA" w:rsidRPr="00480618" w:rsidRDefault="00C17AEA" w:rsidP="002329DA">
      <w:pPr>
        <w:pStyle w:val="ListParagraph"/>
        <w:numPr>
          <w:ilvl w:val="0"/>
          <w:numId w:val="1"/>
        </w:numPr>
        <w:rPr>
          <w:b/>
        </w:rPr>
      </w:pPr>
      <w:r w:rsidRPr="00480618">
        <w:t>The portfolio covers 44 local authorities across England.</w:t>
      </w:r>
    </w:p>
    <w:p w14:paraId="282E6451" w14:textId="4ACAABB6" w:rsidR="00C17AEA" w:rsidRPr="00480618" w:rsidRDefault="00C17AEA" w:rsidP="002329DA">
      <w:pPr>
        <w:pStyle w:val="ListParagraph"/>
        <w:numPr>
          <w:ilvl w:val="0"/>
          <w:numId w:val="1"/>
        </w:numPr>
        <w:rPr>
          <w:b/>
        </w:rPr>
      </w:pPr>
      <w:r w:rsidRPr="00480618">
        <w:t>95% of selected neighbourhoods fall within the programme's preferred population range</w:t>
      </w:r>
      <w:r w:rsidR="00E40509">
        <w:t xml:space="preserve"> of 5,000 to 10,000 people</w:t>
      </w:r>
      <w:r w:rsidRPr="00480618">
        <w:t>.</w:t>
      </w:r>
    </w:p>
    <w:p w14:paraId="16CB3CD0" w14:textId="77777777" w:rsidR="00C17AEA" w:rsidRPr="00480618" w:rsidRDefault="00C17AEA" w:rsidP="002329DA">
      <w:pPr>
        <w:pStyle w:val="ListParagraph"/>
        <w:numPr>
          <w:ilvl w:val="0"/>
          <w:numId w:val="1"/>
        </w:numPr>
        <w:rPr>
          <w:b/>
        </w:rPr>
      </w:pPr>
      <w:r w:rsidRPr="00480618">
        <w:t>Coastal and post-industrial communities are strongly represented, reflecting where need is most concentrated.</w:t>
      </w:r>
    </w:p>
    <w:p w14:paraId="0DE8B2AF" w14:textId="77777777" w:rsidR="00C17AEA" w:rsidRPr="00480618" w:rsidRDefault="00C17AEA" w:rsidP="002329DA">
      <w:pPr>
        <w:pStyle w:val="ListParagraph"/>
        <w:numPr>
          <w:ilvl w:val="0"/>
          <w:numId w:val="1"/>
        </w:numPr>
        <w:rPr>
          <w:b/>
        </w:rPr>
      </w:pPr>
      <w:r w:rsidRPr="00480618">
        <w:t>40 selected neighbourhoods were the highest-ranked eligible areas in their region, while the remaining 20 were chosen after wider consideration of equity, variation and local context.</w:t>
      </w:r>
    </w:p>
    <w:p w14:paraId="22FE577B" w14:textId="77777777" w:rsidR="00C17AEA" w:rsidRPr="00480618" w:rsidRDefault="00C17AEA" w:rsidP="00701BB3">
      <w:pPr>
        <w:pStyle w:val="Heading2"/>
      </w:pPr>
      <w:r w:rsidRPr="00480618">
        <w:t>Summary</w:t>
      </w:r>
    </w:p>
    <w:p w14:paraId="126EC781" w14:textId="77777777" w:rsidR="00C17AEA" w:rsidRPr="00480618" w:rsidRDefault="00C17AEA" w:rsidP="002329DA">
      <w:pPr>
        <w:rPr>
          <w:b/>
        </w:rPr>
      </w:pPr>
      <w:r w:rsidRPr="00480618">
        <w:t>The Community Wealth Fund was designed to direct long-term investment to communities experiencing some of the greatest challenges in England. Selecting 60 neighbourhoods required balancing a clear focus on need with the ambition to create a fair and representative national programme.</w:t>
      </w:r>
    </w:p>
    <w:p w14:paraId="3EE84DB8" w14:textId="77777777" w:rsidR="00C17AEA" w:rsidRPr="00480618" w:rsidRDefault="00C17AEA" w:rsidP="002329DA">
      <w:pPr>
        <w:rPr>
          <w:b/>
        </w:rPr>
      </w:pPr>
      <w:r w:rsidRPr="00480618">
        <w:t xml:space="preserve">The final approach combined robust national evidence with local knowledge and structured decision-making. The result is a portfolio that remains closely aligned to the programme's original purpose while ensuring communities across England </w:t>
      </w:r>
      <w:proofErr w:type="gramStart"/>
      <w:r w:rsidRPr="00480618">
        <w:t>have the opportunity to</w:t>
      </w:r>
      <w:proofErr w:type="gramEnd"/>
      <w:r w:rsidRPr="00480618">
        <w:t xml:space="preserve"> benefit from long-term, community-led investment.</w:t>
      </w:r>
    </w:p>
    <w:p w14:paraId="70FA6BF9" w14:textId="465C2D20" w:rsidR="00C17AEA" w:rsidRPr="00480618" w:rsidRDefault="7E596AA5" w:rsidP="002329DA">
      <w:pPr>
        <w:rPr>
          <w:b/>
        </w:rPr>
      </w:pPr>
      <w:r w:rsidRPr="1E324FF9">
        <w:t>While the detailed methodology paper explains every stage of the process, the overall approach was straightforward: identify communities facing the greatest combination of deprivation and weak social infrastructure, ensure investment is distributed fairly across England, and use local expertise to make informed final decisions.</w:t>
      </w:r>
    </w:p>
    <w:p w14:paraId="66DC3BAE" w14:textId="6FAFC9C6" w:rsidR="6FC2D6B6" w:rsidRPr="00037F9B" w:rsidRDefault="6FC2D6B6" w:rsidP="001C32DA">
      <w:pPr>
        <w:pStyle w:val="BodyCopy-TNLCF"/>
        <w:spacing w:after="160" w:line="259" w:lineRule="auto"/>
        <w:rPr>
          <w:rFonts w:eastAsia="Arial"/>
          <w:b/>
          <w:szCs w:val="24"/>
        </w:rPr>
      </w:pPr>
      <w:r w:rsidRPr="00037F9B">
        <w:rPr>
          <w:rFonts w:eastAsia="Arial"/>
          <w:szCs w:val="24"/>
        </w:rPr>
        <w:t xml:space="preserve">The National Lottery Community Fund </w:t>
      </w:r>
      <w:r w:rsidR="24282FA1" w:rsidRPr="00037F9B">
        <w:rPr>
          <w:rFonts w:eastAsia="Arial"/>
          <w:szCs w:val="24"/>
        </w:rPr>
        <w:t>is looking forward to partnering with local communities over the long term, enabling residents to take the lead in identifying priorities, making decisions, and driving change in their neighbourhoods</w:t>
      </w:r>
      <w:r w:rsidR="24282FA1" w:rsidRPr="1E324FF9">
        <w:rPr>
          <w:rFonts w:eastAsia="Arial"/>
          <w:szCs w:val="24"/>
        </w:rPr>
        <w:t>.</w:t>
      </w:r>
    </w:p>
    <w:p w14:paraId="0CE5F500" w14:textId="7D9D8288" w:rsidR="1E324FF9" w:rsidRDefault="1E324FF9" w:rsidP="1E324FF9">
      <w:pPr>
        <w:pStyle w:val="BodyCopy-TNLCF"/>
      </w:pPr>
    </w:p>
    <w:p w14:paraId="520D3162" w14:textId="77777777" w:rsidR="00C17AEA" w:rsidRPr="00480618" w:rsidRDefault="00C17AEA" w:rsidP="002329DA"/>
    <w:p w14:paraId="5F2C553D" w14:textId="77777777" w:rsidR="00C17AEA" w:rsidRPr="009F528B" w:rsidRDefault="00C17AEA" w:rsidP="002329DA"/>
    <w:p w14:paraId="4609853A" w14:textId="77777777" w:rsidR="00AC0681" w:rsidRDefault="00AC0681" w:rsidP="002329DA"/>
    <w:sectPr w:rsidR="00AC0681" w:rsidSect="00C17AEA">
      <w:footerReference w:type="even" r:id="rId16"/>
      <w:footerReference w:type="default" r:id="rId17"/>
      <w:headerReference w:type="first" r:id="rId18"/>
      <w:footerReference w:type="first" r:id="rId19"/>
      <w:pgSz w:w="11906" w:h="16838"/>
      <w:pgMar w:top="1191" w:right="1418" w:bottom="1191" w:left="1276"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66CC" w14:textId="77777777" w:rsidR="00AF2538" w:rsidRDefault="00AF2538" w:rsidP="002329DA">
      <w:r>
        <w:separator/>
      </w:r>
    </w:p>
  </w:endnote>
  <w:endnote w:type="continuationSeparator" w:id="0">
    <w:p w14:paraId="4166AF9B" w14:textId="77777777" w:rsidR="00AF2538" w:rsidRDefault="00AF2538" w:rsidP="0023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1303818"/>
      <w:docPartObj>
        <w:docPartGallery w:val="Page Numbers (Bottom of Page)"/>
        <w:docPartUnique/>
      </w:docPartObj>
    </w:sdtPr>
    <w:sdtEndPr>
      <w:rPr>
        <w:rStyle w:val="PageNumber"/>
      </w:rPr>
    </w:sdtEndPr>
    <w:sdtContent>
      <w:p w14:paraId="2BF13091" w14:textId="77777777" w:rsidR="00C17AEA" w:rsidRDefault="00C17AEA" w:rsidP="002329DA">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E0E20C" w14:textId="77777777" w:rsidR="00C17AEA" w:rsidRDefault="00C17AEA" w:rsidP="00232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907954"/>
      <w:docPartObj>
        <w:docPartGallery w:val="Page Numbers (Bottom of Page)"/>
        <w:docPartUnique/>
      </w:docPartObj>
    </w:sdtPr>
    <w:sdtEndPr>
      <w:rPr>
        <w:rStyle w:val="PageNumber"/>
      </w:rPr>
    </w:sdtEndPr>
    <w:sdtContent>
      <w:p w14:paraId="40CC46CF" w14:textId="77777777" w:rsidR="00C17AEA" w:rsidRDefault="00C17AEA" w:rsidP="002329DA">
        <w:pPr>
          <w:pStyle w:val="Footer"/>
          <w:rPr>
            <w:rStyle w:val="PageNumber"/>
          </w:rPr>
        </w:pPr>
        <w:r w:rsidRPr="004F3BB8">
          <w:fldChar w:fldCharType="begin"/>
        </w:r>
        <w:r w:rsidRPr="004F3BB8">
          <w:instrText xml:space="preserve"> PAGE </w:instrText>
        </w:r>
        <w:r w:rsidRPr="004F3BB8">
          <w:fldChar w:fldCharType="separate"/>
        </w:r>
        <w:r w:rsidRPr="004F3BB8">
          <w:t>2</w:t>
        </w:r>
        <w:r w:rsidRPr="004F3BB8">
          <w:fldChar w:fldCharType="end"/>
        </w:r>
      </w:p>
    </w:sdtContent>
  </w:sdt>
  <w:p w14:paraId="77C554FA" w14:textId="77777777" w:rsidR="00C17AEA" w:rsidRDefault="00C17AEA" w:rsidP="002329DA">
    <w:r>
      <w:t>It starts with community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6930776"/>
      <w:docPartObj>
        <w:docPartGallery w:val="Page Numbers (Bottom of Page)"/>
        <w:docPartUnique/>
      </w:docPartObj>
    </w:sdtPr>
    <w:sdtEndPr>
      <w:rPr>
        <w:rStyle w:val="PageNumber"/>
      </w:rPr>
    </w:sdtEndPr>
    <w:sdtContent>
      <w:p w14:paraId="21793E99" w14:textId="77777777" w:rsidR="00C17AEA" w:rsidRDefault="00C17AEA" w:rsidP="002329DA">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3632F13" w14:textId="77777777" w:rsidR="00C17AEA" w:rsidRDefault="00C17AEA" w:rsidP="002329DA">
    <w:pPr>
      <w:pStyle w:val="Footer"/>
    </w:pPr>
    <w:r>
      <w:t>It starts with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B6632" w14:textId="77777777" w:rsidR="00AF2538" w:rsidRDefault="00AF2538" w:rsidP="002329DA">
      <w:r>
        <w:separator/>
      </w:r>
    </w:p>
  </w:footnote>
  <w:footnote w:type="continuationSeparator" w:id="0">
    <w:p w14:paraId="77ED55C1" w14:textId="77777777" w:rsidR="00AF2538" w:rsidRDefault="00AF2538" w:rsidP="002329DA">
      <w:r>
        <w:continuationSeparator/>
      </w:r>
    </w:p>
  </w:footnote>
  <w:footnote w:id="1">
    <w:p w14:paraId="42CF00CB" w14:textId="037AD845" w:rsidR="00C17AEA" w:rsidRDefault="00C17AEA" w:rsidP="002329DA">
      <w:pPr>
        <w:pStyle w:val="FootnoteText"/>
        <w:rPr>
          <w:b/>
        </w:rPr>
      </w:pPr>
      <w:r w:rsidRPr="00480618">
        <w:rPr>
          <w:rStyle w:val="FootnoteReference"/>
        </w:rPr>
        <w:footnoteRef/>
      </w:r>
      <w:r w:rsidRPr="00480618">
        <w:t xml:space="preserve"> We are aware that </w:t>
      </w:r>
      <w:proofErr w:type="spellStart"/>
      <w:r w:rsidRPr="00480618">
        <w:t>PiP</w:t>
      </w:r>
      <w:proofErr w:type="spellEnd"/>
      <w:r w:rsidRPr="00480618">
        <w:t xml:space="preserve"> phase 2 areas might redefine boundaries which may mean overlap with adjacent CWF areas.  If this does occur after our </w:t>
      </w:r>
      <w:proofErr w:type="gramStart"/>
      <w:r w:rsidRPr="00480618">
        <w:t>selection</w:t>
      </w:r>
      <w:proofErr w:type="gramEnd"/>
      <w:r w:rsidRPr="00480618">
        <w:t xml:space="preserve"> we will work locally to ensure communities </w:t>
      </w:r>
      <w:r w:rsidR="00D261B4">
        <w:t xml:space="preserve">are </w:t>
      </w:r>
      <w:r w:rsidRPr="00480618">
        <w:t>adequately supported.</w:t>
      </w:r>
    </w:p>
    <w:p w14:paraId="3D6CC82A" w14:textId="77777777" w:rsidR="00862986" w:rsidRPr="00480618" w:rsidRDefault="00862986" w:rsidP="002329D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4422" w14:textId="77777777" w:rsidR="00C17AEA" w:rsidRDefault="00C17AEA" w:rsidP="003C7187">
    <w:pPr>
      <w:pStyle w:val="BodyCopy-TNLCF"/>
      <w:jc w:val="right"/>
    </w:pPr>
    <w:r>
      <w:rPr>
        <w:noProof/>
        <w14:ligatures w14:val="standardContextual"/>
      </w:rPr>
      <w:drawing>
        <wp:inline distT="0" distB="0" distL="0" distR="0" wp14:anchorId="1F4066FA" wp14:editId="3C2D1067">
          <wp:extent cx="3045706" cy="996777"/>
          <wp:effectExtent l="0" t="0" r="2540" b="0"/>
          <wp:docPr id="2084364378" name="Picture 1">
            <a:extLst xmlns:a="http://schemas.openxmlformats.org/drawingml/2006/main">
              <a:ext uri="{FF2B5EF4-FFF2-40B4-BE49-F238E27FC236}">
                <a16:creationId xmlns:a16="http://schemas.microsoft.com/office/drawing/2014/main" id="{8E2D71E0-58C1-4402-9889-656CCE49EE2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64378"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064335" cy="10028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CD5"/>
    <w:multiLevelType w:val="hybridMultilevel"/>
    <w:tmpl w:val="917A6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9C3FD2"/>
    <w:multiLevelType w:val="hybridMultilevel"/>
    <w:tmpl w:val="493CD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E93F06"/>
    <w:multiLevelType w:val="hybridMultilevel"/>
    <w:tmpl w:val="11C0782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num w:numId="1" w16cid:durableId="2105686991">
    <w:abstractNumId w:val="1"/>
  </w:num>
  <w:num w:numId="2" w16cid:durableId="455955425">
    <w:abstractNumId w:val="0"/>
  </w:num>
  <w:num w:numId="3" w16cid:durableId="171645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EA"/>
    <w:rsid w:val="000045C8"/>
    <w:rsid w:val="000108C5"/>
    <w:rsid w:val="0002303C"/>
    <w:rsid w:val="00030C3C"/>
    <w:rsid w:val="00037F9B"/>
    <w:rsid w:val="0004445E"/>
    <w:rsid w:val="00047D09"/>
    <w:rsid w:val="00062204"/>
    <w:rsid w:val="000C5FD6"/>
    <w:rsid w:val="000D5253"/>
    <w:rsid w:val="000E19CD"/>
    <w:rsid w:val="000E6FF0"/>
    <w:rsid w:val="000F7B41"/>
    <w:rsid w:val="001045F3"/>
    <w:rsid w:val="001106B8"/>
    <w:rsid w:val="00141F48"/>
    <w:rsid w:val="001426F1"/>
    <w:rsid w:val="0016768F"/>
    <w:rsid w:val="00167FE9"/>
    <w:rsid w:val="001758BD"/>
    <w:rsid w:val="00193E04"/>
    <w:rsid w:val="0019757E"/>
    <w:rsid w:val="001A12AD"/>
    <w:rsid w:val="001A1E1E"/>
    <w:rsid w:val="001A5F2C"/>
    <w:rsid w:val="001C32DA"/>
    <w:rsid w:val="001E0C3A"/>
    <w:rsid w:val="001F3486"/>
    <w:rsid w:val="002228A4"/>
    <w:rsid w:val="002329DA"/>
    <w:rsid w:val="00261DEF"/>
    <w:rsid w:val="00274C6B"/>
    <w:rsid w:val="00284303"/>
    <w:rsid w:val="0029106F"/>
    <w:rsid w:val="0029307B"/>
    <w:rsid w:val="00296D59"/>
    <w:rsid w:val="00297462"/>
    <w:rsid w:val="002A1F1D"/>
    <w:rsid w:val="002B2A10"/>
    <w:rsid w:val="002B58CE"/>
    <w:rsid w:val="002C1F71"/>
    <w:rsid w:val="002C6F75"/>
    <w:rsid w:val="002D6045"/>
    <w:rsid w:val="002E3C9B"/>
    <w:rsid w:val="002E6A79"/>
    <w:rsid w:val="002F00D3"/>
    <w:rsid w:val="002F3963"/>
    <w:rsid w:val="00310767"/>
    <w:rsid w:val="00313217"/>
    <w:rsid w:val="00316FC8"/>
    <w:rsid w:val="003400F4"/>
    <w:rsid w:val="003557D2"/>
    <w:rsid w:val="00372E19"/>
    <w:rsid w:val="00372EC4"/>
    <w:rsid w:val="00375463"/>
    <w:rsid w:val="00381DD3"/>
    <w:rsid w:val="003901C4"/>
    <w:rsid w:val="00392054"/>
    <w:rsid w:val="00392294"/>
    <w:rsid w:val="003C0045"/>
    <w:rsid w:val="003C6C10"/>
    <w:rsid w:val="003C7187"/>
    <w:rsid w:val="003D0A54"/>
    <w:rsid w:val="004114F0"/>
    <w:rsid w:val="00431311"/>
    <w:rsid w:val="0043749C"/>
    <w:rsid w:val="00446C74"/>
    <w:rsid w:val="004668BB"/>
    <w:rsid w:val="00480FC7"/>
    <w:rsid w:val="00493EC1"/>
    <w:rsid w:val="004A1CFA"/>
    <w:rsid w:val="004A65EA"/>
    <w:rsid w:val="004B11BC"/>
    <w:rsid w:val="004B1E46"/>
    <w:rsid w:val="004B4C99"/>
    <w:rsid w:val="004B56BC"/>
    <w:rsid w:val="004C03AF"/>
    <w:rsid w:val="004D3219"/>
    <w:rsid w:val="004E1CB7"/>
    <w:rsid w:val="004F4292"/>
    <w:rsid w:val="00507020"/>
    <w:rsid w:val="00511787"/>
    <w:rsid w:val="0053375F"/>
    <w:rsid w:val="00540B39"/>
    <w:rsid w:val="00552C32"/>
    <w:rsid w:val="005539E4"/>
    <w:rsid w:val="005657BB"/>
    <w:rsid w:val="00583746"/>
    <w:rsid w:val="00585D15"/>
    <w:rsid w:val="00587A71"/>
    <w:rsid w:val="00592D37"/>
    <w:rsid w:val="005C0D95"/>
    <w:rsid w:val="005C395E"/>
    <w:rsid w:val="005E3FE7"/>
    <w:rsid w:val="005F1C0D"/>
    <w:rsid w:val="005F3A62"/>
    <w:rsid w:val="005F3ACF"/>
    <w:rsid w:val="00603B71"/>
    <w:rsid w:val="00611935"/>
    <w:rsid w:val="00690322"/>
    <w:rsid w:val="006B3ED7"/>
    <w:rsid w:val="006C464E"/>
    <w:rsid w:val="006D56F5"/>
    <w:rsid w:val="006E266C"/>
    <w:rsid w:val="006F0876"/>
    <w:rsid w:val="00701BB3"/>
    <w:rsid w:val="0070329A"/>
    <w:rsid w:val="0070624F"/>
    <w:rsid w:val="007353FE"/>
    <w:rsid w:val="00735EEF"/>
    <w:rsid w:val="0075E582"/>
    <w:rsid w:val="00772662"/>
    <w:rsid w:val="0078564E"/>
    <w:rsid w:val="007A2A6C"/>
    <w:rsid w:val="007C0FCD"/>
    <w:rsid w:val="007C33AC"/>
    <w:rsid w:val="007D00E8"/>
    <w:rsid w:val="007D1019"/>
    <w:rsid w:val="007D7367"/>
    <w:rsid w:val="007F32E5"/>
    <w:rsid w:val="008003F3"/>
    <w:rsid w:val="008220D1"/>
    <w:rsid w:val="0082254A"/>
    <w:rsid w:val="008251D7"/>
    <w:rsid w:val="0083182D"/>
    <w:rsid w:val="00845FF4"/>
    <w:rsid w:val="00862986"/>
    <w:rsid w:val="00884F76"/>
    <w:rsid w:val="008B25E0"/>
    <w:rsid w:val="008C226E"/>
    <w:rsid w:val="008F486B"/>
    <w:rsid w:val="00900DC2"/>
    <w:rsid w:val="009119EB"/>
    <w:rsid w:val="00933870"/>
    <w:rsid w:val="00972DD8"/>
    <w:rsid w:val="009B3CF8"/>
    <w:rsid w:val="009D3224"/>
    <w:rsid w:val="009E11A2"/>
    <w:rsid w:val="009F011D"/>
    <w:rsid w:val="009F528B"/>
    <w:rsid w:val="00A24268"/>
    <w:rsid w:val="00A2648F"/>
    <w:rsid w:val="00A54F6B"/>
    <w:rsid w:val="00A6031F"/>
    <w:rsid w:val="00A70ECB"/>
    <w:rsid w:val="00A87299"/>
    <w:rsid w:val="00AC0681"/>
    <w:rsid w:val="00AC620B"/>
    <w:rsid w:val="00AD5612"/>
    <w:rsid w:val="00AE4D59"/>
    <w:rsid w:val="00AE7F64"/>
    <w:rsid w:val="00AF2538"/>
    <w:rsid w:val="00B04528"/>
    <w:rsid w:val="00B338D0"/>
    <w:rsid w:val="00B40307"/>
    <w:rsid w:val="00B41A92"/>
    <w:rsid w:val="00B464EF"/>
    <w:rsid w:val="00B5001F"/>
    <w:rsid w:val="00B73663"/>
    <w:rsid w:val="00B841A8"/>
    <w:rsid w:val="00BA4362"/>
    <w:rsid w:val="00BA7119"/>
    <w:rsid w:val="00BB4259"/>
    <w:rsid w:val="00BB57ED"/>
    <w:rsid w:val="00BC0555"/>
    <w:rsid w:val="00BF203F"/>
    <w:rsid w:val="00BF2528"/>
    <w:rsid w:val="00C115F3"/>
    <w:rsid w:val="00C17AEA"/>
    <w:rsid w:val="00C26E37"/>
    <w:rsid w:val="00C32EA3"/>
    <w:rsid w:val="00C4379D"/>
    <w:rsid w:val="00C54E91"/>
    <w:rsid w:val="00C66707"/>
    <w:rsid w:val="00C948D0"/>
    <w:rsid w:val="00C95E57"/>
    <w:rsid w:val="00C97375"/>
    <w:rsid w:val="00CA5B30"/>
    <w:rsid w:val="00CB3769"/>
    <w:rsid w:val="00CD13C9"/>
    <w:rsid w:val="00CD32C6"/>
    <w:rsid w:val="00CD598C"/>
    <w:rsid w:val="00CE1A83"/>
    <w:rsid w:val="00CE43E3"/>
    <w:rsid w:val="00D04F12"/>
    <w:rsid w:val="00D261B4"/>
    <w:rsid w:val="00D42B78"/>
    <w:rsid w:val="00D46A1D"/>
    <w:rsid w:val="00D5179E"/>
    <w:rsid w:val="00D54570"/>
    <w:rsid w:val="00D82D83"/>
    <w:rsid w:val="00D9177A"/>
    <w:rsid w:val="00D93800"/>
    <w:rsid w:val="00D97D78"/>
    <w:rsid w:val="00DA505E"/>
    <w:rsid w:val="00DC1069"/>
    <w:rsid w:val="00DC4D30"/>
    <w:rsid w:val="00DE4F70"/>
    <w:rsid w:val="00DE579F"/>
    <w:rsid w:val="00E02145"/>
    <w:rsid w:val="00E02A2A"/>
    <w:rsid w:val="00E132DB"/>
    <w:rsid w:val="00E23E62"/>
    <w:rsid w:val="00E25066"/>
    <w:rsid w:val="00E40509"/>
    <w:rsid w:val="00E47769"/>
    <w:rsid w:val="00E56CCC"/>
    <w:rsid w:val="00E674BD"/>
    <w:rsid w:val="00E77E55"/>
    <w:rsid w:val="00E92124"/>
    <w:rsid w:val="00EB4775"/>
    <w:rsid w:val="00EB47AF"/>
    <w:rsid w:val="00EB4A6F"/>
    <w:rsid w:val="00EB7DDD"/>
    <w:rsid w:val="00EC017A"/>
    <w:rsid w:val="00EC18FF"/>
    <w:rsid w:val="00EF1D02"/>
    <w:rsid w:val="00EF6EFA"/>
    <w:rsid w:val="00F037A0"/>
    <w:rsid w:val="00F1472F"/>
    <w:rsid w:val="00F22902"/>
    <w:rsid w:val="00F270C3"/>
    <w:rsid w:val="00F30C6B"/>
    <w:rsid w:val="00F4148C"/>
    <w:rsid w:val="00F8588C"/>
    <w:rsid w:val="00FC649E"/>
    <w:rsid w:val="00FE1425"/>
    <w:rsid w:val="00FE1FA2"/>
    <w:rsid w:val="00FE343E"/>
    <w:rsid w:val="01F4217B"/>
    <w:rsid w:val="09D4C6B9"/>
    <w:rsid w:val="0B65CBF6"/>
    <w:rsid w:val="0D2D8949"/>
    <w:rsid w:val="11CDA7E9"/>
    <w:rsid w:val="130D414D"/>
    <w:rsid w:val="1A3AC977"/>
    <w:rsid w:val="1E324FF9"/>
    <w:rsid w:val="208E7917"/>
    <w:rsid w:val="2174C25F"/>
    <w:rsid w:val="22DF313F"/>
    <w:rsid w:val="24282FA1"/>
    <w:rsid w:val="2981A9E6"/>
    <w:rsid w:val="31BFC070"/>
    <w:rsid w:val="335B19FD"/>
    <w:rsid w:val="337B2499"/>
    <w:rsid w:val="342EB24B"/>
    <w:rsid w:val="394CD886"/>
    <w:rsid w:val="3F355351"/>
    <w:rsid w:val="48536B77"/>
    <w:rsid w:val="4DFB3881"/>
    <w:rsid w:val="501BB627"/>
    <w:rsid w:val="5633B352"/>
    <w:rsid w:val="5FCD1D64"/>
    <w:rsid w:val="604835D0"/>
    <w:rsid w:val="607C3D46"/>
    <w:rsid w:val="648D8748"/>
    <w:rsid w:val="651E5EDC"/>
    <w:rsid w:val="66D21A5C"/>
    <w:rsid w:val="67A5B964"/>
    <w:rsid w:val="68F9045B"/>
    <w:rsid w:val="6AC0056F"/>
    <w:rsid w:val="6ADB365F"/>
    <w:rsid w:val="6F6FFD83"/>
    <w:rsid w:val="6FC2D6B6"/>
    <w:rsid w:val="722199C8"/>
    <w:rsid w:val="7532A828"/>
    <w:rsid w:val="7793E8FE"/>
    <w:rsid w:val="7ACE489F"/>
    <w:rsid w:val="7E596A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55397"/>
  <w15:chartTrackingRefBased/>
  <w15:docId w15:val="{FBFBD19D-E746-47B9-8A3F-868ECA0C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Bold - TNLCF"/>
    <w:next w:val="BodyCopy-TNLCF"/>
    <w:qFormat/>
    <w:rsid w:val="002329DA"/>
    <w:pPr>
      <w:spacing w:line="259" w:lineRule="auto"/>
    </w:pPr>
    <w:rPr>
      <w:rFonts w:ascii="Arial" w:hAnsi="Arial"/>
      <w:bCs/>
      <w:szCs w:val="22"/>
    </w:rPr>
  </w:style>
  <w:style w:type="paragraph" w:styleId="Heading1">
    <w:name w:val="heading 1"/>
    <w:basedOn w:val="H2-TNLCF"/>
    <w:next w:val="Normal"/>
    <w:link w:val="Heading1Char"/>
    <w:uiPriority w:val="9"/>
    <w:qFormat/>
    <w:rsid w:val="00E77E55"/>
    <w:pPr>
      <w:outlineLvl w:val="0"/>
    </w:pPr>
    <w:rPr>
      <w:b/>
    </w:rPr>
  </w:style>
  <w:style w:type="paragraph" w:styleId="Heading2">
    <w:name w:val="heading 2"/>
    <w:basedOn w:val="Normal"/>
    <w:next w:val="Normal"/>
    <w:link w:val="Heading2Char"/>
    <w:uiPriority w:val="9"/>
    <w:unhideWhenUsed/>
    <w:qFormat/>
    <w:rsid w:val="00701BB3"/>
    <w:pPr>
      <w:keepNext/>
      <w:keepLines/>
      <w:spacing w:before="160" w:after="80"/>
      <w:outlineLvl w:val="1"/>
    </w:pPr>
    <w:rPr>
      <w:rFonts w:asciiTheme="majorHAnsi" w:eastAsiaTheme="majorEastAsia" w:hAnsiTheme="majorHAnsi" w:cstheme="majorBidi"/>
      <w:b/>
      <w:bCs w:val="0"/>
      <w:color w:val="002060"/>
      <w:sz w:val="36"/>
      <w:szCs w:val="36"/>
    </w:rPr>
  </w:style>
  <w:style w:type="paragraph" w:styleId="Heading3">
    <w:name w:val="heading 3"/>
    <w:basedOn w:val="Normal"/>
    <w:next w:val="Normal"/>
    <w:link w:val="Heading3Char"/>
    <w:uiPriority w:val="9"/>
    <w:unhideWhenUsed/>
    <w:qFormat/>
    <w:rsid w:val="00701BB3"/>
    <w:pPr>
      <w:keepNext/>
      <w:keepLines/>
      <w:spacing w:before="160" w:after="80"/>
      <w:outlineLvl w:val="2"/>
    </w:pPr>
    <w:rPr>
      <w:rFonts w:asciiTheme="minorHAnsi" w:eastAsiaTheme="majorEastAsia" w:hAnsiTheme="minorHAnsi" w:cstheme="majorBidi"/>
      <w:b/>
      <w:bCs w:val="0"/>
      <w:color w:val="002060"/>
      <w:sz w:val="32"/>
      <w:szCs w:val="32"/>
    </w:rPr>
  </w:style>
  <w:style w:type="paragraph" w:styleId="Heading4">
    <w:name w:val="heading 4"/>
    <w:basedOn w:val="Normal"/>
    <w:next w:val="Normal"/>
    <w:link w:val="Heading4Char"/>
    <w:uiPriority w:val="9"/>
    <w:unhideWhenUsed/>
    <w:qFormat/>
    <w:rsid w:val="00A6031F"/>
    <w:pPr>
      <w:keepNext/>
      <w:keepLines/>
      <w:spacing w:before="80" w:after="40"/>
      <w:outlineLvl w:val="3"/>
    </w:pPr>
    <w:rPr>
      <w:rFonts w:asciiTheme="minorHAnsi" w:eastAsiaTheme="majorEastAsia" w:hAnsiTheme="minorHAnsi" w:cstheme="majorBidi"/>
      <w:b/>
      <w:bCs w:val="0"/>
      <w:color w:val="002060"/>
      <w:sz w:val="28"/>
      <w:szCs w:val="28"/>
    </w:rPr>
  </w:style>
  <w:style w:type="paragraph" w:styleId="Heading5">
    <w:name w:val="heading 5"/>
    <w:basedOn w:val="Normal"/>
    <w:next w:val="Normal"/>
    <w:link w:val="Heading5Char"/>
    <w:uiPriority w:val="9"/>
    <w:semiHidden/>
    <w:unhideWhenUsed/>
    <w:qFormat/>
    <w:rsid w:val="00C17AE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7AE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7AE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7AE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7AE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E55"/>
    <w:rPr>
      <w:rFonts w:ascii="Arial" w:eastAsiaTheme="majorEastAsia" w:hAnsi="Arial" w:cs="Arial"/>
      <w:b/>
      <w:bCs/>
      <w:color w:val="002060"/>
      <w:sz w:val="48"/>
      <w:szCs w:val="64"/>
    </w:rPr>
  </w:style>
  <w:style w:type="character" w:customStyle="1" w:styleId="Heading2Char">
    <w:name w:val="Heading 2 Char"/>
    <w:basedOn w:val="DefaultParagraphFont"/>
    <w:link w:val="Heading2"/>
    <w:uiPriority w:val="9"/>
    <w:rsid w:val="00701BB3"/>
    <w:rPr>
      <w:rFonts w:asciiTheme="majorHAnsi" w:eastAsiaTheme="majorEastAsia" w:hAnsiTheme="majorHAnsi" w:cstheme="majorBidi"/>
      <w:b/>
      <w:color w:val="002060"/>
      <w:sz w:val="36"/>
      <w:szCs w:val="36"/>
    </w:rPr>
  </w:style>
  <w:style w:type="character" w:customStyle="1" w:styleId="Heading3Char">
    <w:name w:val="Heading 3 Char"/>
    <w:basedOn w:val="DefaultParagraphFont"/>
    <w:link w:val="Heading3"/>
    <w:uiPriority w:val="9"/>
    <w:rsid w:val="00701BB3"/>
    <w:rPr>
      <w:rFonts w:eastAsiaTheme="majorEastAsia" w:cstheme="majorBidi"/>
      <w:b/>
      <w:color w:val="002060"/>
      <w:sz w:val="32"/>
      <w:szCs w:val="32"/>
    </w:rPr>
  </w:style>
  <w:style w:type="character" w:customStyle="1" w:styleId="Heading4Char">
    <w:name w:val="Heading 4 Char"/>
    <w:basedOn w:val="DefaultParagraphFont"/>
    <w:link w:val="Heading4"/>
    <w:uiPriority w:val="9"/>
    <w:rsid w:val="00A6031F"/>
    <w:rPr>
      <w:rFonts w:eastAsiaTheme="majorEastAsia" w:cstheme="majorBidi"/>
      <w:b/>
      <w:color w:val="002060"/>
      <w:sz w:val="28"/>
      <w:szCs w:val="28"/>
    </w:rPr>
  </w:style>
  <w:style w:type="character" w:customStyle="1" w:styleId="Heading5Char">
    <w:name w:val="Heading 5 Char"/>
    <w:basedOn w:val="DefaultParagraphFont"/>
    <w:link w:val="Heading5"/>
    <w:uiPriority w:val="9"/>
    <w:semiHidden/>
    <w:rsid w:val="00C17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AEA"/>
    <w:rPr>
      <w:rFonts w:eastAsiaTheme="majorEastAsia" w:cstheme="majorBidi"/>
      <w:color w:val="272727" w:themeColor="text1" w:themeTint="D8"/>
    </w:rPr>
  </w:style>
  <w:style w:type="paragraph" w:styleId="Subtitle">
    <w:name w:val="Subtitle"/>
    <w:basedOn w:val="Normal"/>
    <w:next w:val="Normal"/>
    <w:link w:val="SubtitleChar"/>
    <w:uiPriority w:val="11"/>
    <w:rsid w:val="00C17AE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AEA"/>
    <w:pPr>
      <w:spacing w:before="160"/>
      <w:jc w:val="center"/>
    </w:pPr>
    <w:rPr>
      <w:i/>
      <w:iCs/>
      <w:color w:val="404040" w:themeColor="text1" w:themeTint="BF"/>
    </w:rPr>
  </w:style>
  <w:style w:type="character" w:customStyle="1" w:styleId="QuoteChar">
    <w:name w:val="Quote Char"/>
    <w:basedOn w:val="DefaultParagraphFont"/>
    <w:link w:val="Quote"/>
    <w:uiPriority w:val="29"/>
    <w:rsid w:val="00C17AEA"/>
    <w:rPr>
      <w:rFonts w:ascii="Arial" w:hAnsi="Arial" w:cs="Arial"/>
      <w:i/>
      <w:iCs/>
      <w:color w:val="404040" w:themeColor="text1" w:themeTint="BF"/>
    </w:rPr>
  </w:style>
  <w:style w:type="paragraph" w:styleId="ListParagraph">
    <w:name w:val="List Paragraph"/>
    <w:basedOn w:val="Normal"/>
    <w:uiPriority w:val="34"/>
    <w:qFormat/>
    <w:rsid w:val="00C17AEA"/>
    <w:pPr>
      <w:ind w:left="720"/>
      <w:contextualSpacing/>
    </w:pPr>
  </w:style>
  <w:style w:type="character" w:styleId="IntenseEmphasis">
    <w:name w:val="Intense Emphasis"/>
    <w:basedOn w:val="DefaultParagraphFont"/>
    <w:uiPriority w:val="21"/>
    <w:qFormat/>
    <w:rsid w:val="00C17AEA"/>
    <w:rPr>
      <w:i/>
      <w:iCs/>
      <w:color w:val="0F4761" w:themeColor="accent1" w:themeShade="BF"/>
    </w:rPr>
  </w:style>
  <w:style w:type="paragraph" w:styleId="IntenseQuote">
    <w:name w:val="Intense Quote"/>
    <w:basedOn w:val="Normal"/>
    <w:next w:val="Normal"/>
    <w:link w:val="IntenseQuoteChar"/>
    <w:uiPriority w:val="30"/>
    <w:qFormat/>
    <w:rsid w:val="00C17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AEA"/>
    <w:rPr>
      <w:rFonts w:ascii="Arial" w:hAnsi="Arial" w:cs="Arial"/>
      <w:i/>
      <w:iCs/>
      <w:color w:val="0F4761" w:themeColor="accent1" w:themeShade="BF"/>
    </w:rPr>
  </w:style>
  <w:style w:type="character" w:styleId="IntenseReference">
    <w:name w:val="Intense Reference"/>
    <w:basedOn w:val="DefaultParagraphFont"/>
    <w:uiPriority w:val="32"/>
    <w:qFormat/>
    <w:rsid w:val="00C17AEA"/>
    <w:rPr>
      <w:b/>
      <w:bCs/>
      <w:smallCaps/>
      <w:color w:val="0F4761" w:themeColor="accent1" w:themeShade="BF"/>
      <w:spacing w:val="5"/>
    </w:rPr>
  </w:style>
  <w:style w:type="character" w:styleId="Hyperlink">
    <w:name w:val="Hyperlink"/>
    <w:basedOn w:val="DefaultParagraphFont"/>
    <w:uiPriority w:val="99"/>
    <w:unhideWhenUsed/>
    <w:rsid w:val="00C17AEA"/>
    <w:rPr>
      <w:rFonts w:ascii="Arial" w:hAnsi="Arial"/>
      <w:b/>
      <w:color w:val="2675AF"/>
      <w:u w:val="single"/>
    </w:rPr>
  </w:style>
  <w:style w:type="paragraph" w:styleId="Footer">
    <w:name w:val="footer"/>
    <w:basedOn w:val="Normal"/>
    <w:link w:val="FooterChar"/>
    <w:uiPriority w:val="99"/>
    <w:unhideWhenUsed/>
    <w:rsid w:val="00C17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AEA"/>
    <w:rPr>
      <w:rFonts w:ascii="Arial" w:hAnsi="Arial"/>
      <w:b/>
      <w:szCs w:val="22"/>
    </w:rPr>
  </w:style>
  <w:style w:type="paragraph" w:styleId="FootnoteText">
    <w:name w:val="footnote text"/>
    <w:basedOn w:val="Normal"/>
    <w:link w:val="FootnoteTextChar"/>
    <w:uiPriority w:val="99"/>
    <w:unhideWhenUsed/>
    <w:rsid w:val="00C17AEA"/>
    <w:pPr>
      <w:spacing w:after="0" w:line="240" w:lineRule="auto"/>
    </w:pPr>
    <w:rPr>
      <w:sz w:val="20"/>
      <w:szCs w:val="20"/>
    </w:rPr>
  </w:style>
  <w:style w:type="character" w:customStyle="1" w:styleId="FootnoteTextChar">
    <w:name w:val="Footnote Text Char"/>
    <w:basedOn w:val="DefaultParagraphFont"/>
    <w:link w:val="FootnoteText"/>
    <w:uiPriority w:val="99"/>
    <w:rsid w:val="00C17AEA"/>
    <w:rPr>
      <w:rFonts w:ascii="Arial" w:hAnsi="Arial"/>
      <w:b/>
      <w:sz w:val="20"/>
      <w:szCs w:val="20"/>
    </w:rPr>
  </w:style>
  <w:style w:type="character" w:styleId="FootnoteReference">
    <w:name w:val="footnote reference"/>
    <w:basedOn w:val="DefaultParagraphFont"/>
    <w:uiPriority w:val="99"/>
    <w:semiHidden/>
    <w:unhideWhenUsed/>
    <w:rsid w:val="00C17AEA"/>
    <w:rPr>
      <w:vertAlign w:val="superscript"/>
    </w:rPr>
  </w:style>
  <w:style w:type="paragraph" w:customStyle="1" w:styleId="BodyCopy-TNLCF">
    <w:name w:val="Body Copy - TNLCF"/>
    <w:link w:val="BodyCopy-TNLCFChar"/>
    <w:qFormat/>
    <w:rsid w:val="00C17AEA"/>
    <w:pPr>
      <w:widowControl w:val="0"/>
      <w:autoSpaceDE w:val="0"/>
      <w:autoSpaceDN w:val="0"/>
      <w:adjustRightInd w:val="0"/>
      <w:spacing w:after="120" w:line="240" w:lineRule="auto"/>
      <w:ind w:right="-45"/>
    </w:pPr>
    <w:rPr>
      <w:rFonts w:ascii="Arial" w:eastAsia="Times New Roman" w:hAnsi="Arial" w:cs="Arial"/>
      <w:color w:val="000000" w:themeColor="text1"/>
      <w:kern w:val="0"/>
      <w:szCs w:val="20"/>
      <w:lang w:eastAsia="en-GB"/>
      <w14:ligatures w14:val="none"/>
    </w:rPr>
  </w:style>
  <w:style w:type="character" w:customStyle="1" w:styleId="BodyCopy-TNLCFChar">
    <w:name w:val="Body Copy - TNLCF Char"/>
    <w:basedOn w:val="DefaultParagraphFont"/>
    <w:link w:val="BodyCopy-TNLCF"/>
    <w:rsid w:val="00C17AEA"/>
    <w:rPr>
      <w:rFonts w:ascii="Arial" w:eastAsia="Times New Roman" w:hAnsi="Arial" w:cs="Arial"/>
      <w:color w:val="000000" w:themeColor="text1"/>
      <w:kern w:val="0"/>
      <w:szCs w:val="20"/>
      <w:lang w:eastAsia="en-GB"/>
      <w14:ligatures w14:val="none"/>
    </w:rPr>
  </w:style>
  <w:style w:type="character" w:styleId="PageNumber">
    <w:name w:val="page number"/>
    <w:basedOn w:val="DefaultParagraphFont"/>
    <w:uiPriority w:val="99"/>
    <w:semiHidden/>
    <w:unhideWhenUsed/>
    <w:rsid w:val="00C17AEA"/>
  </w:style>
  <w:style w:type="paragraph" w:customStyle="1" w:styleId="H2-TNLCF">
    <w:name w:val="H2 - TNLCF"/>
    <w:basedOn w:val="Heading2"/>
    <w:link w:val="H2-TNLCFChar"/>
    <w:rsid w:val="00C17AEA"/>
    <w:pPr>
      <w:spacing w:line="276" w:lineRule="auto"/>
    </w:pPr>
    <w:rPr>
      <w:rFonts w:ascii="Arial" w:hAnsi="Arial" w:cs="Arial"/>
      <w:b w:val="0"/>
      <w:bCs/>
      <w:sz w:val="48"/>
      <w:szCs w:val="64"/>
    </w:rPr>
  </w:style>
  <w:style w:type="character" w:customStyle="1" w:styleId="H2-TNLCFChar">
    <w:name w:val="H2 - TNLCF Char"/>
    <w:basedOn w:val="Heading2Char"/>
    <w:link w:val="H2-TNLCF"/>
    <w:rsid w:val="00C17AEA"/>
    <w:rPr>
      <w:rFonts w:ascii="Arial" w:eastAsiaTheme="majorEastAsia" w:hAnsi="Arial" w:cs="Arial"/>
      <w:b w:val="0"/>
      <w:bCs/>
      <w:color w:val="002060"/>
      <w:sz w:val="48"/>
      <w:szCs w:val="64"/>
    </w:rPr>
  </w:style>
  <w:style w:type="paragraph" w:styleId="Header">
    <w:name w:val="header"/>
    <w:basedOn w:val="Normal"/>
    <w:link w:val="HeaderChar"/>
    <w:uiPriority w:val="99"/>
    <w:unhideWhenUsed/>
    <w:rsid w:val="00933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870"/>
    <w:rPr>
      <w:rFonts w:ascii="Arial" w:hAnsi="Arial"/>
      <w:b/>
      <w:szCs w:val="22"/>
    </w:rPr>
  </w:style>
  <w:style w:type="character" w:styleId="BookTitle">
    <w:name w:val="Book Title"/>
    <w:basedOn w:val="DefaultParagraphFont"/>
    <w:uiPriority w:val="33"/>
    <w:qFormat/>
    <w:rsid w:val="00E02145"/>
    <w:rPr>
      <w:b/>
      <w:bCs/>
      <w:i/>
      <w:iCs/>
      <w:spacing w:val="5"/>
    </w:rPr>
  </w:style>
  <w:style w:type="paragraph" w:styleId="Caption">
    <w:name w:val="caption"/>
    <w:basedOn w:val="Normal"/>
    <w:next w:val="Normal"/>
    <w:uiPriority w:val="35"/>
    <w:semiHidden/>
    <w:unhideWhenUsed/>
    <w:qFormat/>
    <w:rsid w:val="00E02145"/>
    <w:pPr>
      <w:spacing w:after="200" w:line="240" w:lineRule="auto"/>
    </w:pPr>
    <w:rPr>
      <w:i/>
      <w:iCs/>
      <w:color w:val="0E2841" w:themeColor="text2"/>
      <w:sz w:val="18"/>
      <w:szCs w:val="18"/>
    </w:rPr>
  </w:style>
  <w:style w:type="character" w:styleId="Emphasis">
    <w:name w:val="Emphasis"/>
    <w:basedOn w:val="DefaultParagraphFont"/>
    <w:uiPriority w:val="20"/>
    <w:qFormat/>
    <w:rsid w:val="00E02145"/>
    <w:rPr>
      <w:i/>
      <w:iCs/>
    </w:rPr>
  </w:style>
  <w:style w:type="paragraph" w:styleId="NoSpacing">
    <w:name w:val="No Spacing"/>
    <w:uiPriority w:val="1"/>
    <w:qFormat/>
    <w:rsid w:val="00E02145"/>
    <w:pPr>
      <w:spacing w:after="0" w:line="240" w:lineRule="auto"/>
    </w:pPr>
    <w:rPr>
      <w:rFonts w:ascii="Arial" w:hAnsi="Arial"/>
      <w:b/>
      <w:szCs w:val="22"/>
    </w:rPr>
  </w:style>
  <w:style w:type="character" w:styleId="Strong">
    <w:name w:val="Strong"/>
    <w:basedOn w:val="DefaultParagraphFont"/>
    <w:uiPriority w:val="22"/>
    <w:qFormat/>
    <w:rsid w:val="00E02145"/>
    <w:rPr>
      <w:b/>
      <w:bCs/>
    </w:rPr>
  </w:style>
  <w:style w:type="character" w:styleId="SubtleEmphasis">
    <w:name w:val="Subtle Emphasis"/>
    <w:basedOn w:val="DefaultParagraphFont"/>
    <w:uiPriority w:val="19"/>
    <w:qFormat/>
    <w:rsid w:val="00E02145"/>
    <w:rPr>
      <w:i/>
      <w:iCs/>
      <w:color w:val="404040" w:themeColor="text1" w:themeTint="BF"/>
    </w:rPr>
  </w:style>
  <w:style w:type="character" w:styleId="SubtleReference">
    <w:name w:val="Subtle Reference"/>
    <w:basedOn w:val="DefaultParagraphFont"/>
    <w:uiPriority w:val="31"/>
    <w:qFormat/>
    <w:rsid w:val="00E02145"/>
    <w:rPr>
      <w:smallCaps/>
      <w:color w:val="5A5A5A" w:themeColor="text1" w:themeTint="A5"/>
    </w:rPr>
  </w:style>
  <w:style w:type="paragraph" w:styleId="TOCHeading">
    <w:name w:val="TOC Heading"/>
    <w:basedOn w:val="Heading1"/>
    <w:next w:val="Normal"/>
    <w:uiPriority w:val="39"/>
    <w:semiHidden/>
    <w:unhideWhenUsed/>
    <w:qFormat/>
    <w:rsid w:val="00E02145"/>
    <w:pPr>
      <w:spacing w:before="240" w:after="0"/>
      <w:outlineLvl w:val="9"/>
    </w:pPr>
    <w:rPr>
      <w:sz w:val="32"/>
      <w:szCs w:val="32"/>
    </w:rPr>
  </w:style>
  <w:style w:type="character" w:styleId="CommentReference">
    <w:name w:val="annotation reference"/>
    <w:basedOn w:val="DefaultParagraphFont"/>
    <w:uiPriority w:val="99"/>
    <w:semiHidden/>
    <w:unhideWhenUsed/>
    <w:rsid w:val="00611935"/>
    <w:rPr>
      <w:sz w:val="16"/>
      <w:szCs w:val="16"/>
    </w:rPr>
  </w:style>
  <w:style w:type="paragraph" w:styleId="CommentText">
    <w:name w:val="annotation text"/>
    <w:basedOn w:val="Normal"/>
    <w:link w:val="CommentTextChar"/>
    <w:uiPriority w:val="99"/>
    <w:unhideWhenUsed/>
    <w:rsid w:val="00611935"/>
    <w:pPr>
      <w:spacing w:line="240" w:lineRule="auto"/>
    </w:pPr>
    <w:rPr>
      <w:sz w:val="20"/>
      <w:szCs w:val="20"/>
    </w:rPr>
  </w:style>
  <w:style w:type="character" w:customStyle="1" w:styleId="CommentTextChar">
    <w:name w:val="Comment Text Char"/>
    <w:basedOn w:val="DefaultParagraphFont"/>
    <w:link w:val="CommentText"/>
    <w:uiPriority w:val="99"/>
    <w:rsid w:val="00611935"/>
    <w:rPr>
      <w:rFonts w:ascii="Arial" w:hAnsi="Arial"/>
      <w:b/>
      <w:sz w:val="20"/>
      <w:szCs w:val="20"/>
    </w:rPr>
  </w:style>
  <w:style w:type="paragraph" w:styleId="CommentSubject">
    <w:name w:val="annotation subject"/>
    <w:basedOn w:val="CommentText"/>
    <w:next w:val="CommentText"/>
    <w:link w:val="CommentSubjectChar"/>
    <w:uiPriority w:val="99"/>
    <w:semiHidden/>
    <w:unhideWhenUsed/>
    <w:rsid w:val="00611935"/>
    <w:rPr>
      <w:bCs w:val="0"/>
    </w:rPr>
  </w:style>
  <w:style w:type="character" w:customStyle="1" w:styleId="CommentSubjectChar">
    <w:name w:val="Comment Subject Char"/>
    <w:basedOn w:val="CommentTextChar"/>
    <w:link w:val="CommentSubject"/>
    <w:uiPriority w:val="99"/>
    <w:semiHidden/>
    <w:rsid w:val="00611935"/>
    <w:rPr>
      <w:rFonts w:ascii="Arial" w:hAnsi="Arial"/>
      <w:b/>
      <w:bCs/>
      <w:sz w:val="20"/>
      <w:szCs w:val="20"/>
    </w:rPr>
  </w:style>
  <w:style w:type="character" w:styleId="Mention">
    <w:name w:val="Mention"/>
    <w:basedOn w:val="DefaultParagraphFont"/>
    <w:uiPriority w:val="99"/>
    <w:unhideWhenUsed/>
    <w:rsid w:val="00611935"/>
    <w:rPr>
      <w:color w:val="2B579A"/>
      <w:shd w:val="clear" w:color="auto" w:fill="E1DFDD"/>
    </w:rPr>
  </w:style>
  <w:style w:type="paragraph" w:styleId="Revision">
    <w:name w:val="Revision"/>
    <w:hidden/>
    <w:uiPriority w:val="99"/>
    <w:semiHidden/>
    <w:rsid w:val="00446C74"/>
    <w:pPr>
      <w:spacing w:after="0" w:line="240" w:lineRule="auto"/>
    </w:pPr>
    <w:rPr>
      <w:rFonts w:ascii="Arial" w:hAnsi="Arial"/>
      <w:b/>
      <w:szCs w:val="22"/>
    </w:rPr>
  </w:style>
  <w:style w:type="character" w:styleId="FollowedHyperlink">
    <w:name w:val="FollowedHyperlink"/>
    <w:basedOn w:val="DefaultParagraphFont"/>
    <w:uiPriority w:val="99"/>
    <w:semiHidden/>
    <w:unhideWhenUsed/>
    <w:rsid w:val="00A872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ocaltrust.org.uk/evidence-insights/left-behind-neighbourhood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ocsi.uk/2019/10/21/community-needs-index-measuring-social-and-cultural-facto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statistics/english-indices-of-deprivation-2025/english-indices-of-deprivation-2025-statistical-release" TargetMode="External"/><Relationship Id="rId5" Type="http://schemas.openxmlformats.org/officeDocument/2006/relationships/styles" Target="styles.xml"/><Relationship Id="rId15" Type="http://schemas.openxmlformats.org/officeDocument/2006/relationships/hyperlink" Target="https://ocsi.uk/2025/10/15/msoa-codes-for-pride-in-place-programme-neighbourhoods/" TargetMode="External"/><Relationship Id="rId10" Type="http://schemas.openxmlformats.org/officeDocument/2006/relationships/hyperlink" Target="https://www.gov.uk/government/consultations/technical-consultation-on-a-community-wealth-fund-in-england/outcome/government-response-to-the-technical-consultation-on-the-design-of-a-community-wealth-fund-in-england"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consultations/technical-consultation-on-a-community-wealth-fund-in-england/outcome/government-response-to-the-technical-consultation-on-the-design-of-a-community-wealth-fund-in-engla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e24bc2-729e-4054-8454-d4d5db5a28c3" xsi:nil="true"/>
    <Status xmlns="4aefa4a2-c28d-4cfd-a8e4-16fd611c572f" xsi:nil="true"/>
    <lcf76f155ced4ddcb4097134ff3c332f xmlns="4aefa4a2-c28d-4cfd-a8e4-16fd611c57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2AF669-3726-4D57-89C6-62027EBB4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efa4a2-c28d-4cfd-a8e4-16fd611c572f"/>
    <ds:schemaRef ds:uri="a567c9f1-75fc-4dd8-b776-814f33d5058f"/>
    <ds:schemaRef ds:uri="c7e24bc2-729e-4054-8454-d4d5db5a2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4FFBB4-C1AD-402A-96F1-A030E8B32438}">
  <ds:schemaRefs>
    <ds:schemaRef ds:uri="http://schemas.microsoft.com/sharepoint/v3/contenttype/forms"/>
  </ds:schemaRefs>
</ds:datastoreItem>
</file>

<file path=customXml/itemProps3.xml><?xml version="1.0" encoding="utf-8"?>
<ds:datastoreItem xmlns:ds="http://schemas.openxmlformats.org/officeDocument/2006/customXml" ds:itemID="{320488FC-3280-4489-9B35-705A171D76AA}">
  <ds:schemaRefs>
    <ds:schemaRef ds:uri="http://schemas.microsoft.com/office/2006/metadata/properties"/>
    <ds:schemaRef ds:uri="http://schemas.microsoft.com/office/infopath/2007/PartnerControls"/>
    <ds:schemaRef ds:uri="c7e24bc2-729e-4054-8454-d4d5db5a28c3"/>
    <ds:schemaRef ds:uri="4aefa4a2-c28d-4cfd-a8e4-16fd611c572f"/>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1310</Words>
  <Characters>7467</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Community Wealth Fund area selection methodology - executive summary</vt:lpstr>
    </vt:vector>
  </TitlesOfParts>
  <Company/>
  <LinksUpToDate>false</LinksUpToDate>
  <CharactersWithSpaces>8760</CharactersWithSpaces>
  <SharedDoc>false</SharedDoc>
  <HLinks>
    <vt:vector size="36" baseType="variant">
      <vt:variant>
        <vt:i4>3604517</vt:i4>
      </vt:variant>
      <vt:variant>
        <vt:i4>15</vt:i4>
      </vt:variant>
      <vt:variant>
        <vt:i4>0</vt:i4>
      </vt:variant>
      <vt:variant>
        <vt:i4>5</vt:i4>
      </vt:variant>
      <vt:variant>
        <vt:lpwstr>https://ocsi.uk/2025/10/15/msoa-codes-for-pride-in-place-programme-neighbourhoods/</vt:lpwstr>
      </vt:variant>
      <vt:variant>
        <vt:lpwstr/>
      </vt:variant>
      <vt:variant>
        <vt:i4>3080304</vt:i4>
      </vt:variant>
      <vt:variant>
        <vt:i4>12</vt:i4>
      </vt:variant>
      <vt:variant>
        <vt:i4>0</vt:i4>
      </vt:variant>
      <vt:variant>
        <vt:i4>5</vt:i4>
      </vt:variant>
      <vt:variant>
        <vt:lpwstr>https://www.gov.uk/government/consultations/technical-consultation-on-a-community-wealth-fund-in-england/outcome/government-response-to-the-technical-consultation-on-the-design-of-a-community-wealth-fund-in-england</vt:lpwstr>
      </vt:variant>
      <vt:variant>
        <vt:lpwstr/>
      </vt:variant>
      <vt:variant>
        <vt:i4>4063286</vt:i4>
      </vt:variant>
      <vt:variant>
        <vt:i4>9</vt:i4>
      </vt:variant>
      <vt:variant>
        <vt:i4>0</vt:i4>
      </vt:variant>
      <vt:variant>
        <vt:i4>5</vt:i4>
      </vt:variant>
      <vt:variant>
        <vt:lpwstr>https://localtrust.org.uk/evidence-insights/left-behind-neighbourhoods/</vt:lpwstr>
      </vt:variant>
      <vt:variant>
        <vt:lpwstr/>
      </vt:variant>
      <vt:variant>
        <vt:i4>7274558</vt:i4>
      </vt:variant>
      <vt:variant>
        <vt:i4>6</vt:i4>
      </vt:variant>
      <vt:variant>
        <vt:i4>0</vt:i4>
      </vt:variant>
      <vt:variant>
        <vt:i4>5</vt:i4>
      </vt:variant>
      <vt:variant>
        <vt:lpwstr>https://ocsi.uk/2019/10/21/community-needs-index-measuring-social-and-cultural-factors/</vt:lpwstr>
      </vt:variant>
      <vt:variant>
        <vt:lpwstr/>
      </vt:variant>
      <vt:variant>
        <vt:i4>6160410</vt:i4>
      </vt:variant>
      <vt:variant>
        <vt:i4>3</vt:i4>
      </vt:variant>
      <vt:variant>
        <vt:i4>0</vt:i4>
      </vt:variant>
      <vt:variant>
        <vt:i4>5</vt:i4>
      </vt:variant>
      <vt:variant>
        <vt:lpwstr>https://www.gov.uk/government/statistics/english-indices-of-deprivation-2025/english-indices-of-deprivation-2025-statistical-release</vt:lpwstr>
      </vt:variant>
      <vt:variant>
        <vt:lpwstr/>
      </vt:variant>
      <vt:variant>
        <vt:i4>3080304</vt:i4>
      </vt:variant>
      <vt:variant>
        <vt:i4>0</vt:i4>
      </vt:variant>
      <vt:variant>
        <vt:i4>0</vt:i4>
      </vt:variant>
      <vt:variant>
        <vt:i4>5</vt:i4>
      </vt:variant>
      <vt:variant>
        <vt:lpwstr>https://www.gov.uk/government/consultations/technical-consultation-on-a-community-wealth-fund-in-england/outcome/government-response-to-the-technical-consultation-on-the-design-of-a-community-wealth-fund-in-england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Wealth Fund area selection methodology - executive summary</dc:title>
  <dc:subject/>
  <dc:creator/>
  <cp:keywords/>
  <dc:description/>
  <cp:lastModifiedBy>Dani Topaz</cp:lastModifiedBy>
  <cp:revision>9</cp:revision>
  <dcterms:created xsi:type="dcterms:W3CDTF">2026-10-29T23:40:00Z</dcterms:created>
  <dcterms:modified xsi:type="dcterms:W3CDTF">2026-10-29T17:48:00Z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0x0101002DBAC80C6B68FC47941462154B2EC1B4</vt:lpwstr>
  </property>
  <property fmtid="{D5CDD505-2E9C-101B-9397-08002B2CF9AE}" pid="3" name="MediaServiceImageTags">
    <vt:lpwstr/>
  </property>
</Properties>
</file>