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555F" w14:textId="77777777" w:rsidR="00B651B9" w:rsidRDefault="00B651B9" w:rsidP="00C33F91">
      <w:pPr>
        <w:pStyle w:val="Title"/>
      </w:pPr>
    </w:p>
    <w:p w14:paraId="225B3BC5" w14:textId="77777777" w:rsidR="00B651B9" w:rsidRDefault="00B651B9" w:rsidP="00C33F91">
      <w:pPr>
        <w:pStyle w:val="Title"/>
      </w:pPr>
    </w:p>
    <w:p w14:paraId="196FC420" w14:textId="77777777" w:rsidR="00B651B9" w:rsidRDefault="00B651B9" w:rsidP="00C33F91">
      <w:pPr>
        <w:pStyle w:val="Title"/>
      </w:pPr>
    </w:p>
    <w:p w14:paraId="4258D701" w14:textId="77777777" w:rsidR="00B651B9" w:rsidRDefault="00B651B9" w:rsidP="00C33F91">
      <w:pPr>
        <w:pStyle w:val="Title"/>
      </w:pPr>
    </w:p>
    <w:p w14:paraId="74C22621" w14:textId="3A56615A" w:rsidR="00B651B9" w:rsidRDefault="00B651B9" w:rsidP="004924F9">
      <w:pPr>
        <w:pStyle w:val="Title"/>
      </w:pPr>
      <w:r>
        <w:t>Supplier Guide</w:t>
      </w:r>
    </w:p>
    <w:p w14:paraId="74008C34" w14:textId="0904C148" w:rsidR="00B651B9" w:rsidRDefault="004924F9" w:rsidP="004924F9">
      <w:pPr>
        <w:pStyle w:val="OurHighlightHeader"/>
      </w:pPr>
      <w:r>
        <w:t>DOING BUSINESS WITH THE NATIONAL LOTTERY COMMUNITY FUND</w:t>
      </w:r>
      <w:r w:rsidR="00554B4A">
        <w:t xml:space="preserve"> (</w:t>
      </w:r>
      <w:r w:rsidR="00710526">
        <w:t xml:space="preserve"> THE ‘FUND’)</w:t>
      </w:r>
    </w:p>
    <w:p w14:paraId="1B133466" w14:textId="4ACDF429" w:rsidR="004924F9" w:rsidRDefault="004924F9" w:rsidP="004924F9">
      <w:pPr>
        <w:pStyle w:val="OurBody"/>
        <w:rPr>
          <w:lang w:val="en-US"/>
        </w:rPr>
      </w:pPr>
    </w:p>
    <w:p w14:paraId="5A1CB132" w14:textId="19C69F03" w:rsidR="004924F9" w:rsidRDefault="004924F9" w:rsidP="004924F9">
      <w:pPr>
        <w:pStyle w:val="OurBody"/>
        <w:rPr>
          <w:lang w:val="en-US"/>
        </w:rPr>
      </w:pPr>
    </w:p>
    <w:p w14:paraId="1E58BCF9" w14:textId="77777777" w:rsidR="0094703B" w:rsidRDefault="0094703B">
      <w:pPr>
        <w:spacing w:after="160" w:line="259" w:lineRule="auto"/>
        <w:rPr>
          <w:lang w:val="en-US"/>
        </w:rPr>
      </w:pPr>
    </w:p>
    <w:p w14:paraId="06F42B15" w14:textId="77777777" w:rsidR="0094703B" w:rsidRDefault="0094703B">
      <w:pPr>
        <w:spacing w:after="160" w:line="259" w:lineRule="auto"/>
        <w:rPr>
          <w:lang w:val="en-US"/>
        </w:rPr>
      </w:pPr>
    </w:p>
    <w:p w14:paraId="171345C7" w14:textId="77777777" w:rsidR="0094703B" w:rsidRDefault="0094703B">
      <w:pPr>
        <w:spacing w:after="160" w:line="259" w:lineRule="auto"/>
        <w:rPr>
          <w:lang w:val="en-US"/>
        </w:rPr>
      </w:pPr>
    </w:p>
    <w:p w14:paraId="1F6F3295" w14:textId="77777777" w:rsidR="0094703B" w:rsidRDefault="0094703B">
      <w:pPr>
        <w:spacing w:after="160" w:line="259" w:lineRule="auto"/>
        <w:rPr>
          <w:lang w:val="en-US"/>
        </w:rPr>
      </w:pPr>
    </w:p>
    <w:p w14:paraId="3F450BCA" w14:textId="77777777" w:rsidR="0094703B" w:rsidRDefault="0094703B">
      <w:pPr>
        <w:spacing w:after="160" w:line="259" w:lineRule="auto"/>
        <w:rPr>
          <w:lang w:val="en-US"/>
        </w:rPr>
      </w:pPr>
    </w:p>
    <w:p w14:paraId="3BDC404F" w14:textId="77777777" w:rsidR="0094703B" w:rsidRDefault="0094703B">
      <w:pPr>
        <w:spacing w:after="160" w:line="259" w:lineRule="auto"/>
        <w:rPr>
          <w:lang w:val="en-US"/>
        </w:rPr>
      </w:pPr>
    </w:p>
    <w:p w14:paraId="79F45DF4" w14:textId="77777777" w:rsidR="0094703B" w:rsidRDefault="0094703B">
      <w:pPr>
        <w:spacing w:after="160" w:line="259" w:lineRule="auto"/>
        <w:rPr>
          <w:lang w:val="en-US"/>
        </w:rPr>
      </w:pPr>
    </w:p>
    <w:p w14:paraId="6505FA5A" w14:textId="77777777" w:rsidR="0094703B" w:rsidRDefault="0094703B">
      <w:pPr>
        <w:spacing w:after="160" w:line="259" w:lineRule="auto"/>
        <w:rPr>
          <w:lang w:val="en-US"/>
        </w:rPr>
      </w:pPr>
    </w:p>
    <w:p w14:paraId="4DAB8B3D" w14:textId="77777777" w:rsidR="0094703B" w:rsidRDefault="0094703B" w:rsidP="00CF19FD">
      <w:pPr>
        <w:pStyle w:val="OurBody"/>
        <w:rPr>
          <w:rFonts w:eastAsia="Arial"/>
          <w:w w:val="99"/>
        </w:rPr>
      </w:pPr>
      <w:r w:rsidRPr="00A8261B">
        <w:rPr>
          <w:rFonts w:eastAsia="Arial"/>
          <w:spacing w:val="-1"/>
        </w:rPr>
        <w:t>P</w:t>
      </w:r>
      <w:r w:rsidRPr="00A8261B">
        <w:rPr>
          <w:rFonts w:eastAsia="Arial"/>
          <w:spacing w:val="1"/>
        </w:rPr>
        <w:t>r</w:t>
      </w:r>
      <w:r w:rsidRPr="00A8261B">
        <w:rPr>
          <w:rFonts w:eastAsia="Arial"/>
        </w:rPr>
        <w:t>o</w:t>
      </w:r>
      <w:r w:rsidRPr="00A8261B">
        <w:rPr>
          <w:rFonts w:eastAsia="Arial"/>
          <w:spacing w:val="1"/>
        </w:rPr>
        <w:t>c</w:t>
      </w:r>
      <w:r w:rsidRPr="00A8261B">
        <w:rPr>
          <w:rFonts w:eastAsia="Arial"/>
        </w:rPr>
        <w:t>u</w:t>
      </w:r>
      <w:r w:rsidRPr="00A8261B">
        <w:rPr>
          <w:rFonts w:eastAsia="Arial"/>
          <w:spacing w:val="1"/>
        </w:rPr>
        <w:t>r</w:t>
      </w:r>
      <w:r w:rsidRPr="00A8261B">
        <w:rPr>
          <w:rFonts w:eastAsia="Arial"/>
        </w:rPr>
        <w:t>e</w:t>
      </w:r>
      <w:r w:rsidRPr="00A8261B">
        <w:rPr>
          <w:rFonts w:eastAsia="Arial"/>
          <w:spacing w:val="4"/>
        </w:rPr>
        <w:t>m</w:t>
      </w:r>
      <w:r w:rsidRPr="00A8261B">
        <w:rPr>
          <w:rFonts w:eastAsia="Arial"/>
        </w:rPr>
        <w:t>ent</w:t>
      </w:r>
      <w:r w:rsidRPr="00A8261B">
        <w:rPr>
          <w:rFonts w:eastAsia="Arial"/>
          <w:b/>
          <w:spacing w:val="-11"/>
        </w:rPr>
        <w:t xml:space="preserve"> </w:t>
      </w:r>
      <w:r w:rsidRPr="00A92707">
        <w:rPr>
          <w:rFonts w:eastAsia="Arial"/>
          <w:spacing w:val="3"/>
          <w:w w:val="99"/>
        </w:rPr>
        <w:t>T</w:t>
      </w:r>
      <w:r w:rsidRPr="00A92707">
        <w:rPr>
          <w:rFonts w:eastAsia="Arial"/>
          <w:w w:val="99"/>
        </w:rPr>
        <w:t>e</w:t>
      </w:r>
      <w:r w:rsidRPr="00A92707">
        <w:rPr>
          <w:rFonts w:eastAsia="Arial"/>
          <w:spacing w:val="-3"/>
          <w:w w:val="99"/>
        </w:rPr>
        <w:t>a</w:t>
      </w:r>
      <w:r w:rsidRPr="00A92707">
        <w:rPr>
          <w:rFonts w:eastAsia="Arial"/>
          <w:w w:val="99"/>
        </w:rPr>
        <w:t>m</w:t>
      </w:r>
    </w:p>
    <w:p w14:paraId="6B6F1CF7" w14:textId="77777777" w:rsidR="00FC45A9" w:rsidRDefault="0094703B" w:rsidP="00CF19FD">
      <w:pPr>
        <w:pStyle w:val="OurBody"/>
        <w:rPr>
          <w:rFonts w:eastAsia="Arial"/>
        </w:rPr>
      </w:pPr>
      <w:r w:rsidRPr="00A8261B">
        <w:rPr>
          <w:rFonts w:eastAsia="Arial"/>
        </w:rPr>
        <w:t xml:space="preserve">Apex House, </w:t>
      </w:r>
    </w:p>
    <w:p w14:paraId="49098D7C" w14:textId="20B71CAE" w:rsidR="0094703B" w:rsidRPr="00A8261B" w:rsidRDefault="0094703B" w:rsidP="00CF19FD">
      <w:pPr>
        <w:pStyle w:val="OurBody"/>
        <w:rPr>
          <w:rFonts w:eastAsia="Arial"/>
        </w:rPr>
      </w:pPr>
      <w:r w:rsidRPr="00A8261B">
        <w:rPr>
          <w:rFonts w:eastAsia="Arial"/>
        </w:rPr>
        <w:t>3 Embassy Drive</w:t>
      </w:r>
      <w:r w:rsidR="00FC45A9">
        <w:rPr>
          <w:rFonts w:eastAsia="Arial"/>
        </w:rPr>
        <w:t>,</w:t>
      </w:r>
    </w:p>
    <w:p w14:paraId="5A2132F0" w14:textId="77777777" w:rsidR="00FC45A9" w:rsidRDefault="0094703B" w:rsidP="00CF19FD">
      <w:pPr>
        <w:pStyle w:val="OurBody"/>
        <w:rPr>
          <w:rFonts w:eastAsia="Arial"/>
        </w:rPr>
      </w:pPr>
      <w:r w:rsidRPr="00A8261B">
        <w:rPr>
          <w:rFonts w:eastAsia="Arial"/>
        </w:rPr>
        <w:t>Birmingham</w:t>
      </w:r>
      <w:r w:rsidR="00FC45A9">
        <w:rPr>
          <w:rFonts w:eastAsia="Arial"/>
        </w:rPr>
        <w:t>,</w:t>
      </w:r>
    </w:p>
    <w:p w14:paraId="0E859E39" w14:textId="50343CEB" w:rsidR="0094703B" w:rsidRPr="00A8261B" w:rsidRDefault="0094703B" w:rsidP="00CF19FD">
      <w:pPr>
        <w:pStyle w:val="OurBody"/>
        <w:rPr>
          <w:rFonts w:eastAsia="Arial"/>
        </w:rPr>
      </w:pPr>
      <w:r w:rsidRPr="00A8261B">
        <w:rPr>
          <w:rFonts w:eastAsia="Arial"/>
        </w:rPr>
        <w:t>B15 1TR</w:t>
      </w:r>
    </w:p>
    <w:p w14:paraId="3713B1D2" w14:textId="77777777" w:rsidR="0094703B" w:rsidRPr="00A8261B" w:rsidRDefault="0094703B" w:rsidP="00CF19FD">
      <w:pPr>
        <w:pStyle w:val="OurBody"/>
        <w:rPr>
          <w:rFonts w:eastAsia="Arial"/>
        </w:rPr>
      </w:pPr>
      <w:r w:rsidRPr="00A8261B">
        <w:rPr>
          <w:rFonts w:eastAsia="Arial"/>
          <w:spacing w:val="-1"/>
        </w:rPr>
        <w:t>E</w:t>
      </w:r>
      <w:r w:rsidRPr="00A8261B">
        <w:rPr>
          <w:rFonts w:eastAsia="Arial"/>
          <w:spacing w:val="4"/>
        </w:rPr>
        <w:t>m</w:t>
      </w:r>
      <w:r w:rsidRPr="00A8261B">
        <w:rPr>
          <w:rFonts w:eastAsia="Arial"/>
        </w:rPr>
        <w:t>a</w:t>
      </w:r>
      <w:r w:rsidRPr="00A8261B">
        <w:rPr>
          <w:rFonts w:eastAsia="Arial"/>
          <w:spacing w:val="-1"/>
        </w:rPr>
        <w:t>il</w:t>
      </w:r>
      <w:r w:rsidRPr="00A8261B">
        <w:rPr>
          <w:rFonts w:eastAsia="Arial"/>
        </w:rPr>
        <w:t>:</w:t>
      </w:r>
      <w:r w:rsidRPr="00A8261B">
        <w:rPr>
          <w:rFonts w:eastAsia="Arial"/>
          <w:spacing w:val="50"/>
        </w:rPr>
        <w:t xml:space="preserve"> </w:t>
      </w:r>
      <w:hyperlink r:id="rId11" w:history="1">
        <w:r w:rsidRPr="000F29EE">
          <w:rPr>
            <w:rStyle w:val="Hyperlink"/>
            <w:rFonts w:eastAsia="Arial"/>
            <w:w w:val="99"/>
            <w:szCs w:val="24"/>
          </w:rPr>
          <w:t>procurement@tnlcommunityfund.org.uk</w:t>
        </w:r>
      </w:hyperlink>
    </w:p>
    <w:p w14:paraId="09999936" w14:textId="77777777" w:rsidR="0094703B" w:rsidRPr="00A8261B" w:rsidRDefault="0094703B" w:rsidP="00CF19FD">
      <w:pPr>
        <w:pStyle w:val="OurBody"/>
        <w:rPr>
          <w:rFonts w:eastAsia="Arial"/>
        </w:rPr>
      </w:pPr>
      <w:r w:rsidRPr="00A8261B">
        <w:rPr>
          <w:rFonts w:eastAsia="Arial"/>
          <w:spacing w:val="6"/>
        </w:rPr>
        <w:t>W</w:t>
      </w:r>
      <w:r w:rsidRPr="00A8261B">
        <w:rPr>
          <w:rFonts w:eastAsia="Arial"/>
          <w:spacing w:val="-3"/>
        </w:rPr>
        <w:t>e</w:t>
      </w:r>
      <w:r w:rsidRPr="00A8261B">
        <w:rPr>
          <w:rFonts w:eastAsia="Arial"/>
        </w:rPr>
        <w:t>b</w:t>
      </w:r>
      <w:r w:rsidRPr="00A8261B">
        <w:rPr>
          <w:rFonts w:eastAsia="Arial"/>
          <w:spacing w:val="1"/>
        </w:rPr>
        <w:t>s</w:t>
      </w:r>
      <w:r w:rsidRPr="00A8261B">
        <w:rPr>
          <w:rFonts w:eastAsia="Arial"/>
          <w:spacing w:val="-1"/>
        </w:rPr>
        <w:t>i</w:t>
      </w:r>
      <w:r w:rsidRPr="00A8261B">
        <w:rPr>
          <w:rFonts w:eastAsia="Arial"/>
        </w:rPr>
        <w:t>te:</w:t>
      </w:r>
      <w:r w:rsidRPr="00A8261B">
        <w:rPr>
          <w:rFonts w:eastAsia="Arial"/>
          <w:spacing w:val="-8"/>
        </w:rPr>
        <w:t xml:space="preserve"> </w:t>
      </w:r>
      <w:r w:rsidRPr="00A8261B">
        <w:rPr>
          <w:rFonts w:eastAsia="Arial"/>
          <w:color w:val="0000FF"/>
          <w:w w:val="99"/>
          <w:u w:val="single" w:color="0000FF"/>
        </w:rPr>
        <w:t>https://</w:t>
      </w:r>
      <w:r>
        <w:rPr>
          <w:rFonts w:eastAsia="Arial"/>
          <w:color w:val="0000FF"/>
          <w:w w:val="99"/>
          <w:u w:val="single" w:color="0000FF"/>
        </w:rPr>
        <w:t>tnlcommunityfund.org.uk</w:t>
      </w:r>
    </w:p>
    <w:p w14:paraId="73CEF361" w14:textId="352A6EBA" w:rsidR="004924F9" w:rsidRDefault="004924F9">
      <w:pPr>
        <w:spacing w:after="160" w:line="259" w:lineRule="auto"/>
        <w:rPr>
          <w:rFonts w:ascii="Trebuchet MS" w:hAnsi="Trebuchet MS" w:cs="Arial"/>
          <w:color w:val="000000" w:themeColor="text1"/>
          <w:sz w:val="24"/>
          <w:szCs w:val="20"/>
          <w:lang w:val="en-US"/>
        </w:rPr>
      </w:pPr>
    </w:p>
    <w:p w14:paraId="3086366E" w14:textId="68D8C2DB" w:rsidR="00C33F91" w:rsidRDefault="00C33F91" w:rsidP="00C33F91">
      <w:pPr>
        <w:pStyle w:val="OurHighlightHeader"/>
      </w:pPr>
      <w:r w:rsidRPr="008C5B96">
        <w:t>Intro</w:t>
      </w:r>
      <w:r>
        <w:t>duction</w:t>
      </w:r>
      <w:r w:rsidRPr="008C5B96">
        <w:t xml:space="preserve"> </w:t>
      </w:r>
    </w:p>
    <w:p w14:paraId="5EB833DB" w14:textId="5BAA52C4" w:rsidR="00644D6C" w:rsidRDefault="00644D6C" w:rsidP="00644D6C">
      <w:pPr>
        <w:pStyle w:val="OurBody"/>
        <w:rPr>
          <w:lang w:val="en-US"/>
        </w:rPr>
      </w:pPr>
    </w:p>
    <w:p w14:paraId="4A23395C" w14:textId="77777777" w:rsidR="007C5DE1" w:rsidRPr="007C5DE1" w:rsidRDefault="007C5DE1" w:rsidP="007C5DE1">
      <w:pPr>
        <w:pStyle w:val="OurBody"/>
        <w:rPr>
          <w:lang w:val="en-US"/>
        </w:rPr>
      </w:pPr>
      <w:r w:rsidRPr="007C5DE1">
        <w:rPr>
          <w:lang w:val="en-US"/>
        </w:rPr>
        <w:t>The Fund supports people and communities to prosper and thrive. We are the largest community funder in the UK and distribute funds raised through The National Lottery to communities across the UK. We are one of 12 distributors of National Lottery funding, and we are part of a wider National Lottery family.</w:t>
      </w:r>
    </w:p>
    <w:p w14:paraId="1A3038EF" w14:textId="77777777" w:rsidR="00861C31" w:rsidRDefault="007C5DE1" w:rsidP="007C5DE1">
      <w:pPr>
        <w:pStyle w:val="OurBody"/>
        <w:rPr>
          <w:lang w:val="en-US"/>
        </w:rPr>
      </w:pPr>
      <w:r w:rsidRPr="007C5DE1">
        <w:rPr>
          <w:lang w:val="en-US"/>
        </w:rPr>
        <w:t>Our funding has a positive impact and makes a difference to people’s lives. We support projects focused on things that matter, including economic prosperity, employment, young people, mental health, loneliness and helping the UK reach net zero by 2050.</w:t>
      </w:r>
    </w:p>
    <w:p w14:paraId="28267819" w14:textId="4704DB40" w:rsidR="00644020" w:rsidRPr="00BE45D8" w:rsidRDefault="007C5DE1" w:rsidP="007C5DE1">
      <w:pPr>
        <w:pStyle w:val="OurBody"/>
        <w:rPr>
          <w:lang w:val="en-US"/>
        </w:rPr>
      </w:pPr>
      <w:r w:rsidRPr="007C5DE1">
        <w:rPr>
          <w:lang w:val="en-US"/>
        </w:rPr>
        <w:t>National Lottery players raise over £30 million each week for good causes throughout the UK. Since The National Lottery began in 1994, £43 billion has been raised for good causes. National Lottery funding has been used to support over 635,000 projects - 255 projects per postcode area.</w:t>
      </w:r>
    </w:p>
    <w:p w14:paraId="7AB93F2F" w14:textId="6DDFC538" w:rsidR="00644D6C" w:rsidRDefault="00644D6C" w:rsidP="00644D6C">
      <w:pPr>
        <w:pStyle w:val="OurBody"/>
        <w:rPr>
          <w:lang w:val="en-US"/>
        </w:rPr>
      </w:pPr>
    </w:p>
    <w:p w14:paraId="0AD46D18" w14:textId="1F950DFC" w:rsidR="00644D6C" w:rsidRDefault="00C02123" w:rsidP="00C02123">
      <w:pPr>
        <w:pStyle w:val="OurHighlightHeader"/>
      </w:pPr>
      <w:r>
        <w:t>Our Principles</w:t>
      </w:r>
    </w:p>
    <w:p w14:paraId="062E0273" w14:textId="74B83ACE" w:rsidR="00644D6C" w:rsidRDefault="00644D6C" w:rsidP="00644D6C">
      <w:pPr>
        <w:pStyle w:val="OurBody"/>
        <w:rPr>
          <w:lang w:val="en-US"/>
        </w:rPr>
      </w:pPr>
    </w:p>
    <w:p w14:paraId="5AB4D658" w14:textId="4E88853F" w:rsidR="006718C5" w:rsidRDefault="00554B4A" w:rsidP="00644D6C">
      <w:pPr>
        <w:pStyle w:val="OurBody"/>
        <w:rPr>
          <w:lang w:val="en-US"/>
        </w:rPr>
      </w:pPr>
      <w:r w:rsidRPr="00554B4A">
        <w:rPr>
          <w:lang w:val="en-US"/>
        </w:rPr>
        <w:t>The Fund follows a set of key principles that underpin procurement which are aligned to the procurement rules and regulations, policies, and the Funds commitment to supporting communities to thrive and prosper:</w:t>
      </w:r>
    </w:p>
    <w:p w14:paraId="3491653A" w14:textId="565642DD" w:rsidR="00644D6C" w:rsidRDefault="00644D6C" w:rsidP="00644D6C">
      <w:pPr>
        <w:pStyle w:val="OurBody"/>
        <w:rPr>
          <w:lang w:val="en-US"/>
        </w:rPr>
      </w:pPr>
    </w:p>
    <w:tbl>
      <w:tblPr>
        <w:tblStyle w:val="TableGrid"/>
        <w:tblW w:w="5000" w:type="pct"/>
        <w:tblLook w:val="04A0" w:firstRow="1" w:lastRow="0" w:firstColumn="1" w:lastColumn="0" w:noHBand="0" w:noVBand="1"/>
      </w:tblPr>
      <w:tblGrid>
        <w:gridCol w:w="3517"/>
        <w:gridCol w:w="5685"/>
      </w:tblGrid>
      <w:tr w:rsidR="00E04EB3" w14:paraId="284B7562" w14:textId="77777777" w:rsidTr="00E04EB3">
        <w:tc>
          <w:tcPr>
            <w:tcW w:w="1911" w:type="pct"/>
            <w:shd w:val="clear" w:color="auto" w:fill="D9D9D9" w:themeFill="background1" w:themeFillShade="D9"/>
          </w:tcPr>
          <w:p w14:paraId="1E954BCF" w14:textId="77777777" w:rsidR="00E04EB3" w:rsidRDefault="00E04EB3" w:rsidP="00E04EB3">
            <w:pPr>
              <w:pStyle w:val="OurBody"/>
              <w:rPr>
                <w:rStyle w:val="normaltextrun"/>
                <w:b/>
                <w:bCs/>
              </w:rPr>
            </w:pPr>
            <w:r>
              <w:rPr>
                <w:rStyle w:val="normaltextrun"/>
                <w:b/>
                <w:bCs/>
              </w:rPr>
              <w:t>Principle</w:t>
            </w:r>
          </w:p>
        </w:tc>
        <w:tc>
          <w:tcPr>
            <w:tcW w:w="3089" w:type="pct"/>
            <w:shd w:val="clear" w:color="auto" w:fill="D9D9D9" w:themeFill="background1" w:themeFillShade="D9"/>
          </w:tcPr>
          <w:p w14:paraId="6089FA12" w14:textId="77777777" w:rsidR="00E04EB3" w:rsidRDefault="00E04EB3" w:rsidP="00E04EB3">
            <w:pPr>
              <w:pStyle w:val="OurBody"/>
              <w:rPr>
                <w:rStyle w:val="normaltextrun"/>
                <w:b/>
                <w:bCs/>
              </w:rPr>
            </w:pPr>
            <w:r>
              <w:rPr>
                <w:rStyle w:val="normaltextrun"/>
                <w:b/>
                <w:bCs/>
              </w:rPr>
              <w:t>How we ensure this</w:t>
            </w:r>
          </w:p>
        </w:tc>
      </w:tr>
      <w:tr w:rsidR="00E04EB3" w14:paraId="4BD909BE" w14:textId="77777777" w:rsidTr="008202D3">
        <w:tc>
          <w:tcPr>
            <w:tcW w:w="1911" w:type="pct"/>
          </w:tcPr>
          <w:p w14:paraId="71E2F934" w14:textId="77777777" w:rsidR="00E04EB3" w:rsidRPr="00512EFA" w:rsidRDefault="00E04EB3" w:rsidP="00E04EB3">
            <w:pPr>
              <w:pStyle w:val="OurBody"/>
              <w:rPr>
                <w:rStyle w:val="normaltextrun"/>
              </w:rPr>
            </w:pPr>
            <w:r w:rsidRPr="00512EFA">
              <w:rPr>
                <w:rStyle w:val="normaltextrun"/>
              </w:rPr>
              <w:t>Obtain value for money</w:t>
            </w:r>
          </w:p>
        </w:tc>
        <w:tc>
          <w:tcPr>
            <w:tcW w:w="3089" w:type="pct"/>
          </w:tcPr>
          <w:p w14:paraId="2B7F4078" w14:textId="77777777" w:rsidR="00E04EB3" w:rsidRPr="00512EFA" w:rsidRDefault="00E04EB3" w:rsidP="00E04EB3">
            <w:pPr>
              <w:pStyle w:val="OurBody"/>
              <w:rPr>
                <w:rStyle w:val="normaltextrun"/>
              </w:rPr>
            </w:pPr>
            <w:r>
              <w:rPr>
                <w:rStyle w:val="normaltextrun"/>
              </w:rPr>
              <w:t>Ensure competition is introduced by default and evaluated to obtain an optimum combination of whole lifecycle costs and quality.</w:t>
            </w:r>
          </w:p>
        </w:tc>
      </w:tr>
      <w:tr w:rsidR="00E04EB3" w14:paraId="46257F23" w14:textId="77777777" w:rsidTr="008202D3">
        <w:tc>
          <w:tcPr>
            <w:tcW w:w="1911" w:type="pct"/>
          </w:tcPr>
          <w:p w14:paraId="6057A92B" w14:textId="77777777" w:rsidR="00E04EB3" w:rsidRPr="00512EFA" w:rsidRDefault="00E04EB3" w:rsidP="00E04EB3">
            <w:pPr>
              <w:pStyle w:val="OurBody"/>
              <w:rPr>
                <w:rStyle w:val="normaltextrun"/>
              </w:rPr>
            </w:pPr>
            <w:r>
              <w:rPr>
                <w:rStyle w:val="normaltextrun"/>
              </w:rPr>
              <w:t>Demonstrate Good Practice</w:t>
            </w:r>
          </w:p>
        </w:tc>
        <w:tc>
          <w:tcPr>
            <w:tcW w:w="3089" w:type="pct"/>
          </w:tcPr>
          <w:p w14:paraId="1E01CD16" w14:textId="77777777" w:rsidR="00E04EB3" w:rsidRPr="00512EFA" w:rsidRDefault="00E04EB3" w:rsidP="00E04EB3">
            <w:pPr>
              <w:pStyle w:val="OurBody"/>
              <w:rPr>
                <w:rStyle w:val="normaltextrun"/>
              </w:rPr>
            </w:pPr>
            <w:r>
              <w:rPr>
                <w:rStyle w:val="normaltextrun"/>
              </w:rPr>
              <w:t>The Fund’s procurement practices are aligned to Government Commercial Standards to meet expectations on planning, management, and execution of procurement activities.</w:t>
            </w:r>
          </w:p>
        </w:tc>
      </w:tr>
      <w:tr w:rsidR="00E04EB3" w14:paraId="7F9B8945" w14:textId="77777777" w:rsidTr="008202D3">
        <w:tc>
          <w:tcPr>
            <w:tcW w:w="1911" w:type="pct"/>
          </w:tcPr>
          <w:p w14:paraId="278B39C2" w14:textId="77777777" w:rsidR="00E04EB3" w:rsidRPr="00512EFA" w:rsidRDefault="00E04EB3" w:rsidP="00E04EB3">
            <w:pPr>
              <w:pStyle w:val="OurBody"/>
              <w:rPr>
                <w:rStyle w:val="normaltextrun"/>
              </w:rPr>
            </w:pPr>
            <w:r>
              <w:rPr>
                <w:rStyle w:val="normaltextrun"/>
              </w:rPr>
              <w:t>Compliance with the public sector legislative requirements</w:t>
            </w:r>
          </w:p>
        </w:tc>
        <w:tc>
          <w:tcPr>
            <w:tcW w:w="3089" w:type="pct"/>
          </w:tcPr>
          <w:p w14:paraId="0B7637FE" w14:textId="5E72B38A" w:rsidR="00E04EB3" w:rsidRDefault="00E04EB3" w:rsidP="00E04EB3">
            <w:pPr>
              <w:pStyle w:val="OurBody"/>
              <w:rPr>
                <w:rStyle w:val="normaltextrun"/>
              </w:rPr>
            </w:pPr>
            <w:r>
              <w:rPr>
                <w:rStyle w:val="normaltextrun"/>
              </w:rPr>
              <w:t>The Fund’s procurement processes comply with legal</w:t>
            </w:r>
            <w:r w:rsidR="004E28EA">
              <w:rPr>
                <w:rStyle w:val="normaltextrun"/>
              </w:rPr>
              <w:t xml:space="preserve"> and </w:t>
            </w:r>
            <w:r w:rsidR="00174A71">
              <w:rPr>
                <w:rStyle w:val="normaltextrun"/>
              </w:rPr>
              <w:t xml:space="preserve">government </w:t>
            </w:r>
            <w:r w:rsidR="004E28EA">
              <w:rPr>
                <w:rStyle w:val="normaltextrun"/>
              </w:rPr>
              <w:t>policy</w:t>
            </w:r>
            <w:r>
              <w:rPr>
                <w:rStyle w:val="normaltextrun"/>
              </w:rPr>
              <w:t xml:space="preserve"> requirements:</w:t>
            </w:r>
          </w:p>
          <w:p w14:paraId="57A1DEC5" w14:textId="715E8F1E" w:rsidR="00E04EB3" w:rsidRDefault="00E04EB3" w:rsidP="00E04EB3">
            <w:pPr>
              <w:pStyle w:val="OurBody"/>
              <w:numPr>
                <w:ilvl w:val="0"/>
                <w:numId w:val="17"/>
              </w:numPr>
              <w:rPr>
                <w:rStyle w:val="normaltextrun"/>
              </w:rPr>
            </w:pPr>
            <w:r>
              <w:rPr>
                <w:rStyle w:val="normaltextrun"/>
              </w:rPr>
              <w:t>Open, fair, and transparent activity</w:t>
            </w:r>
            <w:r w:rsidR="00174A71">
              <w:rPr>
                <w:rStyle w:val="normaltextrun"/>
              </w:rPr>
              <w:t>.</w:t>
            </w:r>
          </w:p>
          <w:p w14:paraId="37A33568" w14:textId="1660B48A" w:rsidR="00E04EB3" w:rsidRPr="00684385" w:rsidRDefault="00E04EB3" w:rsidP="00E04EB3">
            <w:pPr>
              <w:pStyle w:val="OurBody"/>
              <w:numPr>
                <w:ilvl w:val="0"/>
                <w:numId w:val="17"/>
              </w:numPr>
              <w:rPr>
                <w:rStyle w:val="normaltextrun"/>
              </w:rPr>
            </w:pPr>
            <w:r>
              <w:rPr>
                <w:rStyle w:val="normaltextrun"/>
              </w:rPr>
              <w:t>The form of competition is proportionate to the value and requirements to encourage new start-ups and small or medium enterprises (SME’s) by applying lean principles to procurement activity avoiding overly complex processes and minimising supplier costs.</w:t>
            </w:r>
          </w:p>
          <w:p w14:paraId="73127A22" w14:textId="62AB7BD2" w:rsidR="00E04EB3" w:rsidRPr="00AB1E07" w:rsidRDefault="00E04EB3" w:rsidP="00E04EB3">
            <w:pPr>
              <w:pStyle w:val="OurBody"/>
              <w:numPr>
                <w:ilvl w:val="0"/>
                <w:numId w:val="17"/>
              </w:numPr>
              <w:rPr>
                <w:rStyle w:val="normaltextrun"/>
              </w:rPr>
            </w:pPr>
            <w:r>
              <w:rPr>
                <w:rStyle w:val="normaltextrun"/>
              </w:rPr>
              <w:t>Comply with the data protection requirements</w:t>
            </w:r>
            <w:r w:rsidR="00482458">
              <w:rPr>
                <w:rStyle w:val="normaltextrun"/>
              </w:rPr>
              <w:t>.</w:t>
            </w:r>
          </w:p>
          <w:p w14:paraId="1FF60815" w14:textId="0DF4772A" w:rsidR="00E04EB3" w:rsidRPr="009D4CF0" w:rsidRDefault="00E04EB3" w:rsidP="001558B4">
            <w:pPr>
              <w:pStyle w:val="OurBody"/>
              <w:numPr>
                <w:ilvl w:val="0"/>
                <w:numId w:val="17"/>
              </w:numPr>
              <w:rPr>
                <w:rStyle w:val="normaltextrun"/>
              </w:rPr>
            </w:pPr>
            <w:r>
              <w:rPr>
                <w:rStyle w:val="normaltextrun"/>
              </w:rPr>
              <w:t>Implement Social Value as core evaluation criteria</w:t>
            </w:r>
            <w:r w:rsidR="00174A71">
              <w:rPr>
                <w:rStyle w:val="normaltextrun"/>
              </w:rPr>
              <w:t>:</w:t>
            </w:r>
          </w:p>
          <w:p w14:paraId="000E441C" w14:textId="5D79C5F7" w:rsidR="00E04EB3" w:rsidRPr="00B05D1E" w:rsidRDefault="00E04EB3" w:rsidP="00174A71">
            <w:pPr>
              <w:pStyle w:val="OurBody"/>
              <w:numPr>
                <w:ilvl w:val="1"/>
                <w:numId w:val="17"/>
              </w:numPr>
              <w:rPr>
                <w:rStyle w:val="normaltextrun"/>
              </w:rPr>
            </w:pPr>
            <w:r w:rsidRPr="003B5E47">
              <w:rPr>
                <w:rStyle w:val="normaltextrun"/>
              </w:rPr>
              <w:lastRenderedPageBreak/>
              <w:t>COVID-19 recovery:</w:t>
            </w:r>
            <w:r>
              <w:rPr>
                <w:rStyle w:val="normaltextrun"/>
              </w:rPr>
              <w:t xml:space="preserve"> </w:t>
            </w:r>
            <w:r w:rsidRPr="003B5E47">
              <w:rPr>
                <w:rStyle w:val="normaltextrun"/>
              </w:rPr>
              <w:t xml:space="preserve">Help local communities to manage and recover from the impact of COVID-19. </w:t>
            </w:r>
          </w:p>
          <w:p w14:paraId="44014C35" w14:textId="602A6915" w:rsidR="00E04EB3" w:rsidRPr="00AA2FB4" w:rsidRDefault="00E04EB3" w:rsidP="00174A71">
            <w:pPr>
              <w:pStyle w:val="OurBody"/>
              <w:numPr>
                <w:ilvl w:val="1"/>
                <w:numId w:val="17"/>
              </w:numPr>
              <w:rPr>
                <w:rStyle w:val="normaltextrun"/>
              </w:rPr>
            </w:pPr>
            <w:r w:rsidRPr="00AA2FB4">
              <w:rPr>
                <w:rStyle w:val="normaltextrun"/>
              </w:rPr>
              <w:t xml:space="preserve">Tackling economic inequality: Create new businesses, new jobs and new skills and Increase supply chain resilience and capacity. </w:t>
            </w:r>
          </w:p>
          <w:p w14:paraId="167EEE48" w14:textId="666CDB37" w:rsidR="00E04EB3" w:rsidRPr="00AA2FB4" w:rsidRDefault="00E04EB3" w:rsidP="00174A71">
            <w:pPr>
              <w:pStyle w:val="OurBody"/>
              <w:numPr>
                <w:ilvl w:val="1"/>
                <w:numId w:val="17"/>
              </w:numPr>
              <w:rPr>
                <w:rStyle w:val="normaltextrun"/>
              </w:rPr>
            </w:pPr>
            <w:r w:rsidRPr="00AA2FB4">
              <w:rPr>
                <w:rStyle w:val="normaltextrun"/>
              </w:rPr>
              <w:t xml:space="preserve">Fighting climate change: Effective stewardship of the environment. </w:t>
            </w:r>
          </w:p>
          <w:p w14:paraId="611045B9" w14:textId="5F0D9DE8" w:rsidR="00E04EB3" w:rsidRPr="00906AC3" w:rsidRDefault="00E04EB3" w:rsidP="00174A71">
            <w:pPr>
              <w:pStyle w:val="OurBody"/>
              <w:numPr>
                <w:ilvl w:val="1"/>
                <w:numId w:val="17"/>
              </w:numPr>
              <w:rPr>
                <w:rStyle w:val="normaltextrun"/>
              </w:rPr>
            </w:pPr>
            <w:r w:rsidRPr="00906AC3">
              <w:rPr>
                <w:rStyle w:val="normaltextrun"/>
              </w:rPr>
              <w:t>Equal opportunity: Reduce the disability employment gap and</w:t>
            </w:r>
            <w:r>
              <w:rPr>
                <w:rStyle w:val="normaltextrun"/>
              </w:rPr>
              <w:t xml:space="preserve"> t</w:t>
            </w:r>
            <w:r w:rsidRPr="00906AC3">
              <w:rPr>
                <w:rStyle w:val="normaltextrun"/>
              </w:rPr>
              <w:t xml:space="preserve">ackle workforce inequality. </w:t>
            </w:r>
          </w:p>
          <w:p w14:paraId="3222E442" w14:textId="63627C9C" w:rsidR="00E04EB3" w:rsidRPr="0017734C" w:rsidRDefault="00E04EB3" w:rsidP="00174A71">
            <w:pPr>
              <w:pStyle w:val="OurBody"/>
              <w:numPr>
                <w:ilvl w:val="1"/>
                <w:numId w:val="17"/>
              </w:numPr>
              <w:rPr>
                <w:rStyle w:val="normaltextrun"/>
              </w:rPr>
            </w:pPr>
            <w:r w:rsidRPr="0095054D">
              <w:rPr>
                <w:rStyle w:val="normaltextrun"/>
              </w:rPr>
              <w:t>Wellbeing: Improve health and wellbeing and improve</w:t>
            </w:r>
            <w:r>
              <w:rPr>
                <w:rStyle w:val="normaltextrun"/>
              </w:rPr>
              <w:t xml:space="preserve"> </w:t>
            </w:r>
            <w:r w:rsidRPr="0095054D">
              <w:rPr>
                <w:rStyle w:val="normaltextrun"/>
              </w:rPr>
              <w:t>community cohesion.</w:t>
            </w:r>
          </w:p>
        </w:tc>
      </w:tr>
      <w:tr w:rsidR="00E04EB3" w14:paraId="6169A591" w14:textId="77777777" w:rsidTr="008202D3">
        <w:tc>
          <w:tcPr>
            <w:tcW w:w="1911" w:type="pct"/>
          </w:tcPr>
          <w:p w14:paraId="0CEE1F58" w14:textId="77777777" w:rsidR="00E04EB3" w:rsidRPr="00512EFA" w:rsidRDefault="00E04EB3" w:rsidP="00E04EB3">
            <w:pPr>
              <w:pStyle w:val="OurBody"/>
              <w:rPr>
                <w:rStyle w:val="normaltextrun"/>
              </w:rPr>
            </w:pPr>
            <w:r>
              <w:rPr>
                <w:rStyle w:val="normaltextrun"/>
              </w:rPr>
              <w:lastRenderedPageBreak/>
              <w:t>Become Enablers</w:t>
            </w:r>
          </w:p>
        </w:tc>
        <w:tc>
          <w:tcPr>
            <w:tcW w:w="3089" w:type="pct"/>
          </w:tcPr>
          <w:p w14:paraId="26352F70" w14:textId="77777777" w:rsidR="00E04EB3" w:rsidRPr="00512EFA" w:rsidRDefault="00E04EB3" w:rsidP="00E04EB3">
            <w:pPr>
              <w:pStyle w:val="OurBody"/>
              <w:rPr>
                <w:rStyle w:val="normaltextrun"/>
              </w:rPr>
            </w:pPr>
            <w:r>
              <w:rPr>
                <w:rStyle w:val="normaltextrun"/>
              </w:rPr>
              <w:t>Raise the long-term standing of the procurement function across the Fund to become enablers and work closely with stakeholders.</w:t>
            </w:r>
          </w:p>
        </w:tc>
      </w:tr>
    </w:tbl>
    <w:p w14:paraId="464FFA11" w14:textId="377BF1E7" w:rsidR="0008455A" w:rsidRDefault="0008455A" w:rsidP="00644D6C">
      <w:pPr>
        <w:pStyle w:val="OurBody"/>
        <w:rPr>
          <w:lang w:val="en-US"/>
        </w:rPr>
      </w:pPr>
    </w:p>
    <w:p w14:paraId="28FBEC08" w14:textId="77777777" w:rsidR="0008455A" w:rsidRDefault="0008455A">
      <w:pPr>
        <w:spacing w:after="160" w:line="259" w:lineRule="auto"/>
        <w:rPr>
          <w:rFonts w:ascii="Trebuchet MS" w:hAnsi="Trebuchet MS" w:cs="Arial"/>
          <w:color w:val="000000" w:themeColor="text1"/>
          <w:sz w:val="24"/>
          <w:szCs w:val="20"/>
          <w:lang w:val="en-US"/>
        </w:rPr>
      </w:pPr>
      <w:r>
        <w:rPr>
          <w:lang w:val="en-US"/>
        </w:rPr>
        <w:br w:type="page"/>
      </w:r>
    </w:p>
    <w:p w14:paraId="733AFA2B" w14:textId="6F1FF42B" w:rsidR="007E434B" w:rsidRDefault="007E434B" w:rsidP="00521435">
      <w:pPr>
        <w:pStyle w:val="OurHighlightHeader"/>
      </w:pPr>
      <w:r>
        <w:lastRenderedPageBreak/>
        <w:t>The Procurement Team</w:t>
      </w:r>
    </w:p>
    <w:p w14:paraId="37E6F9BA" w14:textId="330721D3" w:rsidR="007E434B" w:rsidRDefault="007E434B" w:rsidP="007E434B">
      <w:pPr>
        <w:pStyle w:val="OurBody"/>
        <w:rPr>
          <w:lang w:val="en-US"/>
        </w:rPr>
      </w:pPr>
    </w:p>
    <w:p w14:paraId="3A124FD2" w14:textId="6C6C1002" w:rsidR="00AF7711" w:rsidRPr="00AF7711" w:rsidRDefault="00AF7711" w:rsidP="00AF7711">
      <w:pPr>
        <w:pStyle w:val="OurBody"/>
        <w:rPr>
          <w:lang w:val="en-US"/>
        </w:rPr>
      </w:pPr>
      <w:r w:rsidRPr="00AF7711">
        <w:rPr>
          <w:lang w:val="en-US"/>
        </w:rPr>
        <w:t xml:space="preserve">Procurement plays a key role in the delivery of </w:t>
      </w:r>
      <w:r w:rsidR="00804F12">
        <w:rPr>
          <w:lang w:val="en-US"/>
        </w:rPr>
        <w:t>t</w:t>
      </w:r>
      <w:r w:rsidRPr="00AF7711">
        <w:rPr>
          <w:lang w:val="en-US"/>
        </w:rPr>
        <w:t xml:space="preserve">he Fund’s business objectives. Whilst Procurement sets procurement policy, in line with best practice for the </w:t>
      </w:r>
      <w:proofErr w:type="spellStart"/>
      <w:r w:rsidRPr="00AF7711">
        <w:rPr>
          <w:lang w:val="en-US"/>
        </w:rPr>
        <w:t>organisation</w:t>
      </w:r>
      <w:proofErr w:type="spellEnd"/>
      <w:r w:rsidRPr="00AF7711">
        <w:rPr>
          <w:lang w:val="en-US"/>
        </w:rPr>
        <w:t>, we are also responsible for delivering best value procurement solutions for all goods and services required by the business.</w:t>
      </w:r>
    </w:p>
    <w:p w14:paraId="6B8CF2B2" w14:textId="77777777" w:rsidR="00AF7711" w:rsidRPr="00AF7711" w:rsidRDefault="00AF7711" w:rsidP="00AF7711">
      <w:pPr>
        <w:pStyle w:val="OurBody"/>
        <w:rPr>
          <w:lang w:val="en-US"/>
        </w:rPr>
      </w:pPr>
    </w:p>
    <w:p w14:paraId="1947747A" w14:textId="34FC4DAB" w:rsidR="00AF7711" w:rsidRPr="00AF7711" w:rsidRDefault="00AF7711" w:rsidP="00AF7711">
      <w:pPr>
        <w:pStyle w:val="OurBody"/>
        <w:rPr>
          <w:lang w:val="en-US"/>
        </w:rPr>
      </w:pPr>
      <w:r w:rsidRPr="00AF7711">
        <w:rPr>
          <w:lang w:val="en-US"/>
        </w:rPr>
        <w:t xml:space="preserve">The Procurement team manages the procurement process for all business requirements with a </w:t>
      </w:r>
      <w:r w:rsidR="00304590">
        <w:rPr>
          <w:lang w:val="en-US"/>
        </w:rPr>
        <w:t xml:space="preserve">contract </w:t>
      </w:r>
      <w:r w:rsidRPr="00AF7711">
        <w:rPr>
          <w:lang w:val="en-US"/>
        </w:rPr>
        <w:t xml:space="preserve">value </w:t>
      </w:r>
      <w:r w:rsidR="00063F14">
        <w:rPr>
          <w:lang w:val="en-US"/>
        </w:rPr>
        <w:t xml:space="preserve">meeting </w:t>
      </w:r>
      <w:r w:rsidR="00F11756">
        <w:rPr>
          <w:lang w:val="en-US"/>
        </w:rPr>
        <w:t>certain threshold</w:t>
      </w:r>
      <w:r w:rsidRPr="00AF7711">
        <w:rPr>
          <w:lang w:val="en-US"/>
        </w:rPr>
        <w:t xml:space="preserve">. Our services range from </w:t>
      </w:r>
      <w:r w:rsidR="000F4C72">
        <w:rPr>
          <w:lang w:val="en-US"/>
        </w:rPr>
        <w:t xml:space="preserve">supporting </w:t>
      </w:r>
      <w:r w:rsidRPr="00AF7711">
        <w:rPr>
          <w:lang w:val="en-US"/>
        </w:rPr>
        <w:t>specification development to award of contract and providing post contract suppor</w:t>
      </w:r>
      <w:r w:rsidR="000F4C72">
        <w:rPr>
          <w:lang w:val="en-US"/>
        </w:rPr>
        <w:t>t</w:t>
      </w:r>
      <w:r w:rsidRPr="00AF7711">
        <w:rPr>
          <w:lang w:val="en-US"/>
        </w:rPr>
        <w:t>. We also manage the procurement process for any requirements that are of a complex or high-risk nature.</w:t>
      </w:r>
    </w:p>
    <w:p w14:paraId="654C2FAE" w14:textId="77777777" w:rsidR="00AF7711" w:rsidRPr="00AF7711" w:rsidRDefault="00AF7711" w:rsidP="00AF7711">
      <w:pPr>
        <w:pStyle w:val="OurBody"/>
        <w:rPr>
          <w:lang w:val="en-US"/>
        </w:rPr>
      </w:pPr>
    </w:p>
    <w:p w14:paraId="33A9598B" w14:textId="086F0F56" w:rsidR="007E434B" w:rsidRDefault="00AF7711" w:rsidP="00AF7711">
      <w:pPr>
        <w:pStyle w:val="OurBody"/>
        <w:rPr>
          <w:lang w:val="en-US"/>
        </w:rPr>
      </w:pPr>
      <w:r w:rsidRPr="00AF7711">
        <w:rPr>
          <w:lang w:val="en-US"/>
        </w:rPr>
        <w:t xml:space="preserve">For requirements with a </w:t>
      </w:r>
      <w:r w:rsidR="00864345">
        <w:rPr>
          <w:lang w:val="en-US"/>
        </w:rPr>
        <w:t xml:space="preserve">contract </w:t>
      </w:r>
      <w:r w:rsidRPr="00AF7711">
        <w:rPr>
          <w:lang w:val="en-US"/>
        </w:rPr>
        <w:t xml:space="preserve">value below </w:t>
      </w:r>
      <w:r w:rsidR="00063F14">
        <w:rPr>
          <w:lang w:val="en-US"/>
        </w:rPr>
        <w:t xml:space="preserve">thresholds, currently </w:t>
      </w:r>
      <w:r w:rsidRPr="00AF7711">
        <w:rPr>
          <w:lang w:val="en-US"/>
        </w:rPr>
        <w:t>£</w:t>
      </w:r>
      <w:r w:rsidR="00224614">
        <w:rPr>
          <w:lang w:val="en-US"/>
        </w:rPr>
        <w:t>30</w:t>
      </w:r>
      <w:r w:rsidRPr="00AF7711">
        <w:rPr>
          <w:lang w:val="en-US"/>
        </w:rPr>
        <w:t>,000</w:t>
      </w:r>
      <w:r w:rsidR="00224614">
        <w:rPr>
          <w:lang w:val="en-US"/>
        </w:rPr>
        <w:t xml:space="preserve"> including VAT</w:t>
      </w:r>
      <w:r w:rsidRPr="00AF7711">
        <w:rPr>
          <w:lang w:val="en-US"/>
        </w:rPr>
        <w:t xml:space="preserve">, the Fund operates procurement self service, which means that Fund employees can undertake procurement activities, provided they follow the guidance and policy of the </w:t>
      </w:r>
      <w:proofErr w:type="spellStart"/>
      <w:r w:rsidRPr="00AF7711">
        <w:rPr>
          <w:lang w:val="en-US"/>
        </w:rPr>
        <w:t>organisation</w:t>
      </w:r>
      <w:proofErr w:type="spellEnd"/>
      <w:r w:rsidRPr="00AF7711">
        <w:rPr>
          <w:lang w:val="en-US"/>
        </w:rPr>
        <w:t xml:space="preserve">. </w:t>
      </w:r>
    </w:p>
    <w:p w14:paraId="4BAC647C" w14:textId="2F97D22C" w:rsidR="00E15C13" w:rsidRDefault="00E15C13" w:rsidP="00AF7711">
      <w:pPr>
        <w:pStyle w:val="OurBody"/>
        <w:rPr>
          <w:lang w:val="en-US"/>
        </w:rPr>
      </w:pPr>
    </w:p>
    <w:p w14:paraId="11B92E8C" w14:textId="20FBE672" w:rsidR="00E04EB3" w:rsidRDefault="00521435" w:rsidP="00521435">
      <w:pPr>
        <w:pStyle w:val="OurHighlightHeader"/>
      </w:pPr>
      <w:r>
        <w:t>Our Procurement Vision</w:t>
      </w:r>
    </w:p>
    <w:p w14:paraId="0B7076DA" w14:textId="748C450F" w:rsidR="00521435" w:rsidRDefault="00521435" w:rsidP="00521435">
      <w:pPr>
        <w:pStyle w:val="OurBody"/>
        <w:rPr>
          <w:lang w:val="en-US"/>
        </w:rPr>
      </w:pPr>
    </w:p>
    <w:p w14:paraId="444255AC" w14:textId="1408860D" w:rsidR="00521435" w:rsidRDefault="00611F39" w:rsidP="00521435">
      <w:pPr>
        <w:pStyle w:val="OurBody"/>
        <w:rPr>
          <w:lang w:val="en-US"/>
        </w:rPr>
      </w:pPr>
      <w:r w:rsidRPr="00611F39">
        <w:rPr>
          <w:lang w:val="en-US"/>
        </w:rPr>
        <w:t xml:space="preserve">Our vision for procurement is to engage, support and enable the Fund to deliver its purpose to ‘support people and communities to thrive’. We believe this can be achieved through fostering an inclusive, collaborative, innovative and strategic approach towards procurement, which is solution focused, commercially effective, delivers on the Fund’s goals, and evidenced deliverables on </w:t>
      </w:r>
      <w:r w:rsidR="00A96C1F">
        <w:rPr>
          <w:lang w:val="en-US"/>
        </w:rPr>
        <w:t>s</w:t>
      </w:r>
      <w:r w:rsidRPr="00611F39">
        <w:rPr>
          <w:lang w:val="en-US"/>
        </w:rPr>
        <w:t xml:space="preserve">ocial </w:t>
      </w:r>
      <w:r w:rsidR="00A96C1F">
        <w:rPr>
          <w:lang w:val="en-US"/>
        </w:rPr>
        <w:t>v</w:t>
      </w:r>
      <w:r w:rsidRPr="00611F39">
        <w:rPr>
          <w:lang w:val="en-US"/>
        </w:rPr>
        <w:t>alue.</w:t>
      </w:r>
    </w:p>
    <w:p w14:paraId="26A3C038" w14:textId="7311FA95" w:rsidR="007C05D0" w:rsidRDefault="007C05D0" w:rsidP="00521435">
      <w:pPr>
        <w:pStyle w:val="OurBody"/>
        <w:rPr>
          <w:lang w:val="en-US"/>
        </w:rPr>
      </w:pPr>
    </w:p>
    <w:p w14:paraId="13C728F5" w14:textId="2F1C5F75" w:rsidR="007C05D0" w:rsidRDefault="006B4920" w:rsidP="006B4920">
      <w:pPr>
        <w:pStyle w:val="OurHighlightHeader"/>
      </w:pPr>
      <w:r>
        <w:t>Our Procurement Mission Statement</w:t>
      </w:r>
    </w:p>
    <w:p w14:paraId="6E86D23C" w14:textId="453C339E" w:rsidR="006B4920" w:rsidRDefault="006B4920" w:rsidP="006B4920">
      <w:pPr>
        <w:pStyle w:val="OurBody"/>
        <w:rPr>
          <w:lang w:val="en-US"/>
        </w:rPr>
      </w:pPr>
    </w:p>
    <w:p w14:paraId="2402D8D8" w14:textId="77777777" w:rsidR="00A96C1F" w:rsidRPr="00C71BFD" w:rsidRDefault="00A96C1F" w:rsidP="00A96C1F">
      <w:pPr>
        <w:pStyle w:val="OurBody"/>
        <w:rPr>
          <w:lang w:val="en-US"/>
        </w:rPr>
      </w:pPr>
      <w:r>
        <w:rPr>
          <w:lang w:val="en-US"/>
        </w:rPr>
        <w:t xml:space="preserve">We will be an enabler across all procurement activity delivering an excellent service, adding value across delivery, and providing efficient operations. Our procurement activities will follow good practice, promote social value, tackle the climate emergency, and </w:t>
      </w:r>
      <w:proofErr w:type="spellStart"/>
      <w:r>
        <w:rPr>
          <w:lang w:val="en-US"/>
        </w:rPr>
        <w:t>optimise</w:t>
      </w:r>
      <w:proofErr w:type="spellEnd"/>
      <w:r>
        <w:rPr>
          <w:lang w:val="en-US"/>
        </w:rPr>
        <w:t xml:space="preserve"> value which align to the Fund’s principles and goals by being </w:t>
      </w:r>
      <w:r w:rsidRPr="00C71BFD">
        <w:rPr>
          <w:lang w:val="en-US"/>
        </w:rPr>
        <w:t>purposeful, impact orientated, relevant and value adding.</w:t>
      </w:r>
    </w:p>
    <w:p w14:paraId="31951CED" w14:textId="4E540EAB" w:rsidR="0008455A" w:rsidRDefault="0008455A">
      <w:pPr>
        <w:spacing w:after="160" w:line="259" w:lineRule="auto"/>
        <w:rPr>
          <w:rFonts w:ascii="Trebuchet MS" w:hAnsi="Trebuchet MS" w:cs="Arial"/>
          <w:color w:val="000000" w:themeColor="text1"/>
          <w:sz w:val="24"/>
          <w:szCs w:val="20"/>
          <w:lang w:val="en-US"/>
        </w:rPr>
      </w:pPr>
      <w:r>
        <w:rPr>
          <w:lang w:val="en-US"/>
        </w:rPr>
        <w:br w:type="page"/>
      </w:r>
    </w:p>
    <w:p w14:paraId="316D7679" w14:textId="338F8DE6" w:rsidR="004F4070" w:rsidRDefault="00E15C13" w:rsidP="00E15C13">
      <w:pPr>
        <w:pStyle w:val="OurHighlightHeader"/>
      </w:pPr>
      <w:r>
        <w:lastRenderedPageBreak/>
        <w:t>Service Outline</w:t>
      </w:r>
    </w:p>
    <w:p w14:paraId="25437DCF" w14:textId="293E2C17" w:rsidR="00EC4585" w:rsidRDefault="00EC4585" w:rsidP="00EC4585">
      <w:pPr>
        <w:pStyle w:val="OurBody"/>
        <w:rPr>
          <w:lang w:val="en-US"/>
        </w:rPr>
      </w:pPr>
    </w:p>
    <w:p w14:paraId="4469DEC0" w14:textId="1F18FEAD" w:rsidR="00B70511" w:rsidRPr="00B70511" w:rsidRDefault="00B70511" w:rsidP="00B70511">
      <w:pPr>
        <w:rPr>
          <w:rFonts w:ascii="Trebuchet MS" w:hAnsi="Trebuchet MS"/>
          <w:sz w:val="24"/>
          <w:szCs w:val="24"/>
        </w:rPr>
      </w:pPr>
      <w:r w:rsidRPr="00B70511">
        <w:rPr>
          <w:rFonts w:ascii="Trebuchet MS" w:hAnsi="Trebuchet MS"/>
          <w:sz w:val="24"/>
          <w:szCs w:val="24"/>
        </w:rPr>
        <w:t xml:space="preserve">The Fund is committed to ensuring that our procurement processes and policy support public money spent in a way that is </w:t>
      </w:r>
      <w:r w:rsidR="00B5303D">
        <w:rPr>
          <w:rFonts w:ascii="Trebuchet MS" w:hAnsi="Trebuchet MS"/>
          <w:sz w:val="24"/>
          <w:szCs w:val="24"/>
        </w:rPr>
        <w:t>fair</w:t>
      </w:r>
      <w:r w:rsidRPr="00B70511">
        <w:rPr>
          <w:rFonts w:ascii="Trebuchet MS" w:hAnsi="Trebuchet MS"/>
          <w:sz w:val="24"/>
          <w:szCs w:val="24"/>
        </w:rPr>
        <w:t xml:space="preserve">, </w:t>
      </w:r>
      <w:r w:rsidR="00B5303D">
        <w:rPr>
          <w:rFonts w:ascii="Trebuchet MS" w:hAnsi="Trebuchet MS"/>
          <w:sz w:val="24"/>
          <w:szCs w:val="24"/>
        </w:rPr>
        <w:t xml:space="preserve">equal and </w:t>
      </w:r>
      <w:r w:rsidRPr="00B70511">
        <w:rPr>
          <w:rFonts w:ascii="Trebuchet MS" w:hAnsi="Trebuchet MS"/>
          <w:sz w:val="24"/>
          <w:szCs w:val="24"/>
        </w:rPr>
        <w:t>transparent.</w:t>
      </w:r>
    </w:p>
    <w:p w14:paraId="2C93540D" w14:textId="25AD1C0D" w:rsidR="00B70511" w:rsidRPr="00B70511" w:rsidRDefault="00B70511" w:rsidP="00B70511">
      <w:pPr>
        <w:rPr>
          <w:rFonts w:ascii="Trebuchet MS" w:hAnsi="Trebuchet MS"/>
          <w:sz w:val="24"/>
          <w:szCs w:val="24"/>
        </w:rPr>
      </w:pPr>
      <w:r w:rsidRPr="00B70511">
        <w:rPr>
          <w:rFonts w:ascii="Trebuchet MS" w:hAnsi="Trebuchet MS"/>
          <w:sz w:val="24"/>
          <w:szCs w:val="24"/>
        </w:rPr>
        <w:t>All procurement activity</w:t>
      </w:r>
      <w:r w:rsidR="008843F0">
        <w:rPr>
          <w:rFonts w:ascii="Trebuchet MS" w:hAnsi="Trebuchet MS"/>
          <w:sz w:val="24"/>
          <w:szCs w:val="24"/>
        </w:rPr>
        <w:t>, currently</w:t>
      </w:r>
      <w:r w:rsidRPr="00B70511">
        <w:rPr>
          <w:rFonts w:ascii="Trebuchet MS" w:hAnsi="Trebuchet MS"/>
          <w:sz w:val="24"/>
          <w:szCs w:val="24"/>
        </w:rPr>
        <w:t xml:space="preserve"> under £3</w:t>
      </w:r>
      <w:r w:rsidR="000F2127">
        <w:rPr>
          <w:rFonts w:ascii="Trebuchet MS" w:hAnsi="Trebuchet MS"/>
          <w:sz w:val="24"/>
          <w:szCs w:val="24"/>
        </w:rPr>
        <w:t>0</w:t>
      </w:r>
      <w:r w:rsidRPr="00B70511">
        <w:rPr>
          <w:rFonts w:ascii="Trebuchet MS" w:hAnsi="Trebuchet MS"/>
          <w:sz w:val="24"/>
          <w:szCs w:val="24"/>
        </w:rPr>
        <w:t xml:space="preserve">,000 </w:t>
      </w:r>
      <w:r w:rsidR="000F2127">
        <w:rPr>
          <w:rFonts w:ascii="Trebuchet MS" w:hAnsi="Trebuchet MS"/>
          <w:sz w:val="24"/>
          <w:szCs w:val="24"/>
        </w:rPr>
        <w:t>including VAT</w:t>
      </w:r>
      <w:r w:rsidR="008843F0">
        <w:rPr>
          <w:rFonts w:ascii="Trebuchet MS" w:hAnsi="Trebuchet MS"/>
          <w:sz w:val="24"/>
          <w:szCs w:val="24"/>
        </w:rPr>
        <w:t>,</w:t>
      </w:r>
      <w:r w:rsidR="000F2127">
        <w:rPr>
          <w:rFonts w:ascii="Trebuchet MS" w:hAnsi="Trebuchet MS"/>
          <w:sz w:val="24"/>
          <w:szCs w:val="24"/>
        </w:rPr>
        <w:t xml:space="preserve"> </w:t>
      </w:r>
      <w:r w:rsidRPr="00B70511">
        <w:rPr>
          <w:rFonts w:ascii="Trebuchet MS" w:hAnsi="Trebuchet MS"/>
          <w:sz w:val="24"/>
          <w:szCs w:val="24"/>
        </w:rPr>
        <w:t>can be undertaken without Procurement’s intervention provided that all of the Fund’s procurement policies and financial regulations are adhered to.</w:t>
      </w:r>
    </w:p>
    <w:p w14:paraId="2B0C4A92" w14:textId="3D27B934" w:rsidR="00B70511" w:rsidRPr="00B70511" w:rsidRDefault="00B70511" w:rsidP="00B70511">
      <w:pPr>
        <w:rPr>
          <w:rFonts w:ascii="Trebuchet MS" w:hAnsi="Trebuchet MS"/>
          <w:sz w:val="24"/>
          <w:szCs w:val="24"/>
        </w:rPr>
      </w:pPr>
      <w:r w:rsidRPr="00B70511">
        <w:rPr>
          <w:rFonts w:ascii="Trebuchet MS" w:hAnsi="Trebuchet MS"/>
          <w:sz w:val="24"/>
          <w:szCs w:val="24"/>
        </w:rPr>
        <w:t>All procurement activity</w:t>
      </w:r>
      <w:r w:rsidR="008843F0">
        <w:rPr>
          <w:rFonts w:ascii="Trebuchet MS" w:hAnsi="Trebuchet MS"/>
          <w:sz w:val="24"/>
          <w:szCs w:val="24"/>
        </w:rPr>
        <w:t>, currently</w:t>
      </w:r>
      <w:r w:rsidRPr="00B70511">
        <w:rPr>
          <w:rFonts w:ascii="Trebuchet MS" w:hAnsi="Trebuchet MS"/>
          <w:sz w:val="24"/>
          <w:szCs w:val="24"/>
        </w:rPr>
        <w:t xml:space="preserve"> over £</w:t>
      </w:r>
      <w:r w:rsidR="000F2127">
        <w:rPr>
          <w:rFonts w:ascii="Trebuchet MS" w:hAnsi="Trebuchet MS"/>
          <w:sz w:val="24"/>
          <w:szCs w:val="24"/>
        </w:rPr>
        <w:t>30</w:t>
      </w:r>
      <w:r w:rsidRPr="00B70511">
        <w:rPr>
          <w:rFonts w:ascii="Trebuchet MS" w:hAnsi="Trebuchet MS"/>
          <w:sz w:val="24"/>
          <w:szCs w:val="24"/>
        </w:rPr>
        <w:t>,000</w:t>
      </w:r>
      <w:r w:rsidR="000F2127">
        <w:rPr>
          <w:rFonts w:ascii="Trebuchet MS" w:hAnsi="Trebuchet MS"/>
          <w:sz w:val="24"/>
          <w:szCs w:val="24"/>
        </w:rPr>
        <w:t xml:space="preserve"> including VAT</w:t>
      </w:r>
      <w:r w:rsidR="008843F0">
        <w:rPr>
          <w:rFonts w:ascii="Trebuchet MS" w:hAnsi="Trebuchet MS"/>
          <w:sz w:val="24"/>
          <w:szCs w:val="24"/>
        </w:rPr>
        <w:t>,</w:t>
      </w:r>
      <w:r w:rsidRPr="00B70511">
        <w:rPr>
          <w:rFonts w:ascii="Trebuchet MS" w:hAnsi="Trebuchet MS"/>
          <w:sz w:val="24"/>
          <w:szCs w:val="24"/>
        </w:rPr>
        <w:t xml:space="preserve"> must be undertaken in conjunction with and administered by the Procurement Department</w:t>
      </w:r>
    </w:p>
    <w:p w14:paraId="290F584E" w14:textId="2A22BDF2" w:rsidR="00EC4585" w:rsidRPr="00C90379" w:rsidRDefault="00C90379" w:rsidP="00EC4585">
      <w:pPr>
        <w:pStyle w:val="NormalWeb"/>
        <w:spacing w:before="60" w:beforeAutospacing="0" w:after="60" w:afterAutospacing="0"/>
        <w:rPr>
          <w:rFonts w:ascii="Trebuchet MS" w:hAnsi="Trebuchet MS"/>
          <w:b/>
          <w:bCs/>
          <w:color w:val="auto"/>
          <w:sz w:val="24"/>
          <w:szCs w:val="24"/>
        </w:rPr>
      </w:pPr>
      <w:r w:rsidRPr="00C90379">
        <w:rPr>
          <w:rFonts w:ascii="Trebuchet MS" w:hAnsi="Trebuchet MS"/>
          <w:b/>
          <w:bCs/>
          <w:color w:val="auto"/>
          <w:sz w:val="24"/>
          <w:szCs w:val="24"/>
        </w:rPr>
        <w:t xml:space="preserve">Please </w:t>
      </w:r>
      <w:r w:rsidR="007C6C37" w:rsidRPr="00C90379">
        <w:rPr>
          <w:rFonts w:ascii="Trebuchet MS" w:hAnsi="Trebuchet MS"/>
          <w:b/>
          <w:bCs/>
          <w:color w:val="auto"/>
          <w:sz w:val="24"/>
          <w:szCs w:val="24"/>
        </w:rPr>
        <w:t>note</w:t>
      </w:r>
      <w:r w:rsidR="00F85901">
        <w:rPr>
          <w:rFonts w:ascii="Trebuchet MS" w:hAnsi="Trebuchet MS"/>
          <w:b/>
          <w:bCs/>
          <w:color w:val="auto"/>
          <w:sz w:val="24"/>
          <w:szCs w:val="24"/>
        </w:rPr>
        <w:t xml:space="preserve"> t</w:t>
      </w:r>
      <w:r w:rsidR="00EC4585" w:rsidRPr="00C90379">
        <w:rPr>
          <w:rFonts w:ascii="Trebuchet MS" w:hAnsi="Trebuchet MS"/>
          <w:b/>
          <w:bCs/>
          <w:color w:val="auto"/>
          <w:sz w:val="24"/>
          <w:szCs w:val="24"/>
        </w:rPr>
        <w:t xml:space="preserve">hresholds may change subject to government </w:t>
      </w:r>
      <w:r w:rsidR="00EA3349">
        <w:rPr>
          <w:rFonts w:ascii="Trebuchet MS" w:hAnsi="Trebuchet MS"/>
          <w:b/>
          <w:bCs/>
          <w:color w:val="auto"/>
          <w:sz w:val="24"/>
          <w:szCs w:val="24"/>
        </w:rPr>
        <w:t>guidance</w:t>
      </w:r>
      <w:r w:rsidR="00D129D6">
        <w:rPr>
          <w:rFonts w:ascii="Trebuchet MS" w:hAnsi="Trebuchet MS"/>
          <w:b/>
          <w:bCs/>
          <w:color w:val="auto"/>
          <w:sz w:val="24"/>
          <w:szCs w:val="24"/>
        </w:rPr>
        <w:t>.</w:t>
      </w:r>
    </w:p>
    <w:p w14:paraId="57161FAD" w14:textId="06CA1947" w:rsidR="00E15C13" w:rsidRDefault="00E15C13" w:rsidP="00E15C13">
      <w:pPr>
        <w:pStyle w:val="OurBody"/>
        <w:rPr>
          <w:lang w:val="en-US"/>
        </w:rPr>
      </w:pPr>
    </w:p>
    <w:tbl>
      <w:tblPr>
        <w:tblStyle w:val="PlainTable2"/>
        <w:tblpPr w:leftFromText="180" w:rightFromText="180" w:vertAnchor="text" w:tblpXSpec="right" w:tblpY="1"/>
        <w:tblW w:w="9210" w:type="dxa"/>
        <w:tblLook w:val="0000" w:firstRow="0" w:lastRow="0" w:firstColumn="0" w:lastColumn="0" w:noHBand="0" w:noVBand="0"/>
      </w:tblPr>
      <w:tblGrid>
        <w:gridCol w:w="1918"/>
        <w:gridCol w:w="2330"/>
        <w:gridCol w:w="4962"/>
      </w:tblGrid>
      <w:tr w:rsidR="008D1D8D" w:rsidRPr="00A32156" w14:paraId="1DD34CE3" w14:textId="77777777" w:rsidTr="00AC353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8" w:type="dxa"/>
            <w:shd w:val="clear" w:color="auto" w:fill="D9D9D9" w:themeFill="background1" w:themeFillShade="D9"/>
          </w:tcPr>
          <w:p w14:paraId="5C35924E" w14:textId="77777777" w:rsidR="00F073B1" w:rsidRPr="00A32156" w:rsidRDefault="00F073B1" w:rsidP="008202D3">
            <w:pPr>
              <w:pStyle w:val="NormalWeb"/>
              <w:spacing w:before="60" w:beforeAutospacing="0" w:after="60" w:afterAutospacing="0"/>
              <w:jc w:val="both"/>
              <w:rPr>
                <w:rFonts w:ascii="Trebuchet MS" w:hAnsi="Trebuchet MS"/>
                <w:b/>
                <w:bCs/>
                <w:color w:val="auto"/>
                <w:sz w:val="24"/>
                <w:szCs w:val="24"/>
              </w:rPr>
            </w:pPr>
            <w:r w:rsidRPr="00A32156">
              <w:rPr>
                <w:rFonts w:ascii="Trebuchet MS" w:hAnsi="Trebuchet MS"/>
                <w:b/>
                <w:bCs/>
                <w:color w:val="auto"/>
                <w:sz w:val="24"/>
                <w:szCs w:val="24"/>
              </w:rPr>
              <w:t>Estimated Level of Expenditure</w:t>
            </w:r>
          </w:p>
        </w:tc>
        <w:tc>
          <w:tcPr>
            <w:cnfStyle w:val="000001000000" w:firstRow="0" w:lastRow="0" w:firstColumn="0" w:lastColumn="0" w:oddVBand="0" w:evenVBand="1" w:oddHBand="0" w:evenHBand="0" w:firstRowFirstColumn="0" w:firstRowLastColumn="0" w:lastRowFirstColumn="0" w:lastRowLastColumn="0"/>
            <w:tcW w:w="2330" w:type="dxa"/>
            <w:shd w:val="clear" w:color="auto" w:fill="D9D9D9" w:themeFill="background1" w:themeFillShade="D9"/>
          </w:tcPr>
          <w:p w14:paraId="0E3A9DFE" w14:textId="77777777" w:rsidR="00F073B1" w:rsidRPr="00A32156" w:rsidRDefault="00F073B1" w:rsidP="008202D3">
            <w:pPr>
              <w:pStyle w:val="NormalWeb"/>
              <w:spacing w:before="60" w:beforeAutospacing="0" w:after="60" w:afterAutospacing="0"/>
              <w:jc w:val="both"/>
              <w:rPr>
                <w:rFonts w:ascii="Trebuchet MS" w:hAnsi="Trebuchet MS"/>
                <w:b/>
                <w:bCs/>
                <w:color w:val="auto"/>
                <w:sz w:val="24"/>
                <w:szCs w:val="24"/>
              </w:rPr>
            </w:pPr>
            <w:r w:rsidRPr="00A32156">
              <w:rPr>
                <w:rFonts w:ascii="Trebuchet MS" w:hAnsi="Trebuchet MS"/>
                <w:b/>
                <w:bCs/>
                <w:color w:val="auto"/>
                <w:sz w:val="24"/>
                <w:szCs w:val="24"/>
              </w:rPr>
              <w:t>Procurement Activity Undertaken By</w:t>
            </w:r>
          </w:p>
        </w:tc>
        <w:tc>
          <w:tcPr>
            <w:cnfStyle w:val="000010000000" w:firstRow="0" w:lastRow="0" w:firstColumn="0" w:lastColumn="0" w:oddVBand="1" w:evenVBand="0" w:oddHBand="0" w:evenHBand="0" w:firstRowFirstColumn="0" w:firstRowLastColumn="0" w:lastRowFirstColumn="0" w:lastRowLastColumn="0"/>
            <w:tcW w:w="4962" w:type="dxa"/>
            <w:shd w:val="clear" w:color="auto" w:fill="D9D9D9" w:themeFill="background1" w:themeFillShade="D9"/>
          </w:tcPr>
          <w:p w14:paraId="79CBE313" w14:textId="77777777" w:rsidR="00F073B1" w:rsidRPr="00A32156" w:rsidRDefault="00F073B1" w:rsidP="008202D3">
            <w:pPr>
              <w:pStyle w:val="NormalWeb"/>
              <w:spacing w:before="60" w:beforeAutospacing="0" w:after="60" w:afterAutospacing="0"/>
              <w:jc w:val="both"/>
              <w:rPr>
                <w:rFonts w:ascii="Trebuchet MS" w:hAnsi="Trebuchet MS"/>
                <w:b/>
                <w:bCs/>
                <w:color w:val="auto"/>
                <w:sz w:val="24"/>
                <w:szCs w:val="24"/>
              </w:rPr>
            </w:pPr>
            <w:r w:rsidRPr="00A32156">
              <w:rPr>
                <w:rFonts w:ascii="Trebuchet MS" w:hAnsi="Trebuchet MS"/>
                <w:b/>
                <w:bCs/>
                <w:color w:val="auto"/>
                <w:sz w:val="24"/>
                <w:szCs w:val="24"/>
              </w:rPr>
              <w:t>Procurement Process</w:t>
            </w:r>
          </w:p>
        </w:tc>
      </w:tr>
      <w:tr w:rsidR="008D1D8D" w:rsidRPr="00A32156" w14:paraId="7E8503DA" w14:textId="77777777" w:rsidTr="00AC3539">
        <w:tc>
          <w:tcPr>
            <w:cnfStyle w:val="000010000000" w:firstRow="0" w:lastRow="0" w:firstColumn="0" w:lastColumn="0" w:oddVBand="1" w:evenVBand="0" w:oddHBand="0" w:evenHBand="0" w:firstRowFirstColumn="0" w:firstRowLastColumn="0" w:lastRowFirstColumn="0" w:lastRowLastColumn="0"/>
            <w:tcW w:w="1918" w:type="dxa"/>
            <w:shd w:val="clear" w:color="auto" w:fill="D9D9D9" w:themeFill="background1" w:themeFillShade="D9"/>
          </w:tcPr>
          <w:p w14:paraId="4E39530A" w14:textId="549772BF" w:rsidR="00F073B1" w:rsidRPr="00A32156" w:rsidRDefault="00F073B1" w:rsidP="008202D3">
            <w:pPr>
              <w:pStyle w:val="NormalWeb"/>
              <w:spacing w:before="60" w:beforeAutospacing="0" w:after="60" w:afterAutospacing="0"/>
              <w:jc w:val="both"/>
              <w:rPr>
                <w:rFonts w:ascii="Trebuchet MS" w:hAnsi="Trebuchet MS"/>
                <w:b/>
                <w:bCs/>
                <w:color w:val="auto"/>
                <w:sz w:val="24"/>
                <w:szCs w:val="24"/>
              </w:rPr>
            </w:pPr>
            <w:r w:rsidRPr="00A32156">
              <w:rPr>
                <w:rFonts w:ascii="Trebuchet MS" w:hAnsi="Trebuchet MS"/>
                <w:b/>
                <w:bCs/>
                <w:color w:val="auto"/>
                <w:sz w:val="24"/>
                <w:szCs w:val="24"/>
              </w:rPr>
              <w:t>Up to £1</w:t>
            </w:r>
            <w:r w:rsidR="00AC3539">
              <w:rPr>
                <w:rFonts w:ascii="Trebuchet MS" w:hAnsi="Trebuchet MS"/>
                <w:b/>
                <w:bCs/>
                <w:color w:val="auto"/>
                <w:sz w:val="24"/>
                <w:szCs w:val="24"/>
              </w:rPr>
              <w:t>2,000</w:t>
            </w:r>
          </w:p>
          <w:p w14:paraId="083397C7" w14:textId="77777777" w:rsidR="00F073B1" w:rsidRPr="00A32156" w:rsidRDefault="00F073B1" w:rsidP="008202D3">
            <w:pPr>
              <w:pStyle w:val="NormalWeb"/>
              <w:spacing w:before="60" w:beforeAutospacing="0" w:after="60" w:afterAutospacing="0"/>
              <w:jc w:val="both"/>
              <w:rPr>
                <w:rFonts w:ascii="Trebuchet MS" w:hAnsi="Trebuchet MS"/>
                <w:b/>
                <w:bCs/>
                <w:color w:val="auto"/>
                <w:sz w:val="24"/>
                <w:szCs w:val="24"/>
                <w:highlight w:val="yellow"/>
              </w:rPr>
            </w:pPr>
            <w:r w:rsidRPr="00A32156">
              <w:rPr>
                <w:rFonts w:ascii="Trebuchet MS" w:hAnsi="Trebuchet MS"/>
                <w:b/>
                <w:bCs/>
                <w:color w:val="auto"/>
                <w:sz w:val="24"/>
                <w:szCs w:val="24"/>
              </w:rPr>
              <w:t>Including VAT</w:t>
            </w:r>
          </w:p>
        </w:tc>
        <w:tc>
          <w:tcPr>
            <w:cnfStyle w:val="000001000000" w:firstRow="0" w:lastRow="0" w:firstColumn="0" w:lastColumn="0" w:oddVBand="0" w:evenVBand="1" w:oddHBand="0" w:evenHBand="0" w:firstRowFirstColumn="0" w:firstRowLastColumn="0" w:lastRowFirstColumn="0" w:lastRowLastColumn="0"/>
            <w:tcW w:w="2330" w:type="dxa"/>
            <w:shd w:val="clear" w:color="auto" w:fill="D9D9D9" w:themeFill="background1" w:themeFillShade="D9"/>
          </w:tcPr>
          <w:p w14:paraId="3E526B69" w14:textId="77777777" w:rsidR="00F073B1" w:rsidRPr="00A32156" w:rsidRDefault="00F073B1" w:rsidP="008202D3">
            <w:pPr>
              <w:pStyle w:val="NormalWeb"/>
              <w:spacing w:before="60" w:beforeAutospacing="0" w:after="60" w:afterAutospacing="0"/>
              <w:jc w:val="both"/>
              <w:rPr>
                <w:rFonts w:ascii="Trebuchet MS" w:hAnsi="Trebuchet MS"/>
                <w:color w:val="auto"/>
                <w:sz w:val="24"/>
                <w:szCs w:val="24"/>
              </w:rPr>
            </w:pPr>
            <w:r w:rsidRPr="00A32156">
              <w:rPr>
                <w:rFonts w:ascii="Trebuchet MS" w:hAnsi="Trebuchet MS"/>
                <w:color w:val="auto"/>
                <w:sz w:val="24"/>
                <w:szCs w:val="24"/>
              </w:rPr>
              <w:t>End User</w:t>
            </w:r>
          </w:p>
        </w:tc>
        <w:tc>
          <w:tcPr>
            <w:cnfStyle w:val="000010000000" w:firstRow="0" w:lastRow="0" w:firstColumn="0" w:lastColumn="0" w:oddVBand="1" w:evenVBand="0" w:oddHBand="0" w:evenHBand="0" w:firstRowFirstColumn="0" w:firstRowLastColumn="0" w:lastRowFirstColumn="0" w:lastRowLastColumn="0"/>
            <w:tcW w:w="4962" w:type="dxa"/>
          </w:tcPr>
          <w:p w14:paraId="7AEF64DF" w14:textId="77777777" w:rsidR="00F073B1" w:rsidRPr="00A32156" w:rsidRDefault="00F073B1" w:rsidP="008202D3">
            <w:pPr>
              <w:pStyle w:val="NormalWeb"/>
              <w:spacing w:before="60" w:beforeAutospacing="0" w:after="60" w:afterAutospacing="0" w:line="240" w:lineRule="auto"/>
              <w:ind w:right="180"/>
              <w:jc w:val="both"/>
              <w:rPr>
                <w:rFonts w:ascii="Trebuchet MS" w:hAnsi="Trebuchet MS"/>
                <w:b/>
                <w:bCs/>
                <w:color w:val="auto"/>
                <w:sz w:val="24"/>
                <w:szCs w:val="24"/>
              </w:rPr>
            </w:pPr>
            <w:r w:rsidRPr="00A32156">
              <w:rPr>
                <w:rFonts w:ascii="Trebuchet MS" w:hAnsi="Trebuchet MS"/>
                <w:b/>
                <w:bCs/>
                <w:color w:val="auto"/>
                <w:sz w:val="24"/>
                <w:szCs w:val="24"/>
              </w:rPr>
              <w:t>1 written fixed price quotation.</w:t>
            </w:r>
          </w:p>
          <w:p w14:paraId="24CD9976" w14:textId="77777777" w:rsidR="00F073B1" w:rsidRPr="00A32156" w:rsidRDefault="00F073B1" w:rsidP="00956262">
            <w:pPr>
              <w:rPr>
                <w:rFonts w:ascii="Trebuchet MS" w:hAnsi="Trebuchet MS" w:cs="Arial"/>
                <w:color w:val="000000" w:themeColor="text1"/>
                <w:sz w:val="24"/>
                <w:szCs w:val="24"/>
              </w:rPr>
            </w:pPr>
          </w:p>
        </w:tc>
      </w:tr>
      <w:tr w:rsidR="008D1D8D" w:rsidRPr="00A32156" w14:paraId="23DCF03F" w14:textId="77777777" w:rsidTr="00AC353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8" w:type="dxa"/>
            <w:shd w:val="clear" w:color="auto" w:fill="D9D9D9" w:themeFill="background1" w:themeFillShade="D9"/>
          </w:tcPr>
          <w:p w14:paraId="4FF1C70B" w14:textId="4D18F9FE" w:rsidR="00F073B1" w:rsidRPr="00A32156" w:rsidRDefault="00AC3539" w:rsidP="008202D3">
            <w:pPr>
              <w:pStyle w:val="NormalWeb"/>
              <w:spacing w:before="60" w:beforeAutospacing="0" w:after="60" w:afterAutospacing="0"/>
              <w:rPr>
                <w:rFonts w:ascii="Trebuchet MS" w:hAnsi="Trebuchet MS"/>
                <w:b/>
                <w:bCs/>
                <w:color w:val="auto"/>
                <w:sz w:val="24"/>
                <w:szCs w:val="24"/>
              </w:rPr>
            </w:pPr>
            <w:r>
              <w:rPr>
                <w:rFonts w:ascii="Trebuchet MS" w:hAnsi="Trebuchet MS"/>
                <w:b/>
                <w:bCs/>
                <w:color w:val="auto"/>
                <w:sz w:val="24"/>
                <w:szCs w:val="24"/>
              </w:rPr>
              <w:t xml:space="preserve">Above </w:t>
            </w:r>
            <w:r w:rsidR="00F073B1" w:rsidRPr="00A32156">
              <w:rPr>
                <w:rFonts w:ascii="Trebuchet MS" w:hAnsi="Trebuchet MS"/>
                <w:b/>
                <w:bCs/>
                <w:color w:val="auto"/>
                <w:sz w:val="24"/>
                <w:szCs w:val="24"/>
              </w:rPr>
              <w:t>£12,00</w:t>
            </w:r>
            <w:r>
              <w:rPr>
                <w:rFonts w:ascii="Trebuchet MS" w:hAnsi="Trebuchet MS"/>
                <w:b/>
                <w:bCs/>
                <w:color w:val="auto"/>
                <w:sz w:val="24"/>
                <w:szCs w:val="24"/>
              </w:rPr>
              <w:t>0</w:t>
            </w:r>
            <w:r w:rsidR="00F073B1" w:rsidRPr="00A32156">
              <w:rPr>
                <w:rFonts w:ascii="Trebuchet MS" w:hAnsi="Trebuchet MS"/>
                <w:b/>
                <w:bCs/>
                <w:color w:val="auto"/>
                <w:sz w:val="24"/>
                <w:szCs w:val="24"/>
              </w:rPr>
              <w:t xml:space="preserve"> - £</w:t>
            </w:r>
            <w:r>
              <w:rPr>
                <w:rFonts w:ascii="Trebuchet MS" w:hAnsi="Trebuchet MS"/>
                <w:b/>
                <w:bCs/>
                <w:color w:val="auto"/>
                <w:sz w:val="24"/>
                <w:szCs w:val="24"/>
              </w:rPr>
              <w:t>30,000</w:t>
            </w:r>
          </w:p>
          <w:p w14:paraId="5456020D" w14:textId="437E25DF" w:rsidR="00F073B1" w:rsidRPr="00FC7B98" w:rsidRDefault="00F073B1" w:rsidP="008202D3">
            <w:pPr>
              <w:pStyle w:val="NormalWeb"/>
              <w:spacing w:before="60" w:beforeAutospacing="0" w:after="60" w:afterAutospacing="0"/>
              <w:jc w:val="both"/>
              <w:rPr>
                <w:rFonts w:ascii="Trebuchet MS" w:hAnsi="Trebuchet MS"/>
                <w:b/>
                <w:bCs/>
                <w:color w:val="auto"/>
                <w:sz w:val="24"/>
                <w:szCs w:val="24"/>
              </w:rPr>
            </w:pPr>
            <w:r w:rsidRPr="00A32156">
              <w:rPr>
                <w:rFonts w:ascii="Trebuchet MS" w:hAnsi="Trebuchet MS"/>
                <w:b/>
                <w:bCs/>
                <w:color w:val="auto"/>
                <w:sz w:val="24"/>
                <w:szCs w:val="24"/>
              </w:rPr>
              <w:t>Including VAT</w:t>
            </w:r>
          </w:p>
        </w:tc>
        <w:tc>
          <w:tcPr>
            <w:cnfStyle w:val="000001000000" w:firstRow="0" w:lastRow="0" w:firstColumn="0" w:lastColumn="0" w:oddVBand="0" w:evenVBand="1" w:oddHBand="0" w:evenHBand="0" w:firstRowFirstColumn="0" w:firstRowLastColumn="0" w:lastRowFirstColumn="0" w:lastRowLastColumn="0"/>
            <w:tcW w:w="2330" w:type="dxa"/>
            <w:shd w:val="clear" w:color="auto" w:fill="D9D9D9" w:themeFill="background1" w:themeFillShade="D9"/>
          </w:tcPr>
          <w:p w14:paraId="02998E0F" w14:textId="77777777" w:rsidR="00F073B1" w:rsidRPr="00A32156" w:rsidRDefault="00F073B1" w:rsidP="008202D3">
            <w:pPr>
              <w:pStyle w:val="NormalWeb"/>
              <w:spacing w:before="60" w:beforeAutospacing="0" w:after="60" w:afterAutospacing="0"/>
              <w:jc w:val="both"/>
              <w:rPr>
                <w:rFonts w:ascii="Trebuchet MS" w:hAnsi="Trebuchet MS"/>
                <w:color w:val="auto"/>
                <w:sz w:val="24"/>
                <w:szCs w:val="24"/>
              </w:rPr>
            </w:pPr>
            <w:r w:rsidRPr="00A32156">
              <w:rPr>
                <w:rFonts w:ascii="Trebuchet MS" w:hAnsi="Trebuchet MS"/>
                <w:color w:val="auto"/>
                <w:sz w:val="24"/>
                <w:szCs w:val="24"/>
              </w:rPr>
              <w:t>End User</w:t>
            </w:r>
          </w:p>
        </w:tc>
        <w:tc>
          <w:tcPr>
            <w:cnfStyle w:val="000010000000" w:firstRow="0" w:lastRow="0" w:firstColumn="0" w:lastColumn="0" w:oddVBand="1" w:evenVBand="0" w:oddHBand="0" w:evenHBand="0" w:firstRowFirstColumn="0" w:firstRowLastColumn="0" w:lastRowFirstColumn="0" w:lastRowLastColumn="0"/>
            <w:tcW w:w="4962" w:type="dxa"/>
          </w:tcPr>
          <w:p w14:paraId="688DD2CD" w14:textId="1941CE2C" w:rsidR="00F073B1" w:rsidRPr="00956262" w:rsidRDefault="00F073B1" w:rsidP="00956262">
            <w:pPr>
              <w:pStyle w:val="NormalWeb"/>
              <w:spacing w:before="60" w:beforeAutospacing="0" w:after="60" w:afterAutospacing="0" w:line="240" w:lineRule="auto"/>
              <w:ind w:right="180"/>
              <w:jc w:val="both"/>
              <w:rPr>
                <w:rFonts w:ascii="Trebuchet MS" w:hAnsi="Trebuchet MS"/>
                <w:b/>
                <w:bCs/>
                <w:color w:val="000000" w:themeColor="text1"/>
                <w:sz w:val="24"/>
                <w:szCs w:val="24"/>
              </w:rPr>
            </w:pPr>
            <w:r w:rsidRPr="00A32156">
              <w:rPr>
                <w:rFonts w:ascii="Trebuchet MS" w:hAnsi="Trebuchet MS"/>
                <w:b/>
                <w:bCs/>
                <w:color w:val="auto"/>
                <w:sz w:val="24"/>
                <w:szCs w:val="24"/>
              </w:rPr>
              <w:t xml:space="preserve">3 written fixed price quotations. </w:t>
            </w:r>
          </w:p>
        </w:tc>
      </w:tr>
      <w:tr w:rsidR="008D1D8D" w:rsidRPr="00A32156" w14:paraId="47BE52E3" w14:textId="77777777" w:rsidTr="00AC3539">
        <w:trPr>
          <w:trHeight w:val="1974"/>
        </w:trPr>
        <w:tc>
          <w:tcPr>
            <w:cnfStyle w:val="000010000000" w:firstRow="0" w:lastRow="0" w:firstColumn="0" w:lastColumn="0" w:oddVBand="1" w:evenVBand="0" w:oddHBand="0" w:evenHBand="0" w:firstRowFirstColumn="0" w:firstRowLastColumn="0" w:lastRowFirstColumn="0" w:lastRowLastColumn="0"/>
            <w:tcW w:w="1918" w:type="dxa"/>
            <w:shd w:val="clear" w:color="auto" w:fill="D9D9D9" w:themeFill="background1" w:themeFillShade="D9"/>
          </w:tcPr>
          <w:p w14:paraId="11BE9E9B" w14:textId="64D551BD" w:rsidR="00F073B1" w:rsidRPr="00A32156" w:rsidRDefault="00AC3539" w:rsidP="00EC4585">
            <w:pPr>
              <w:pStyle w:val="NormalWeb"/>
              <w:spacing w:before="60" w:beforeAutospacing="0" w:after="60" w:afterAutospacing="0"/>
              <w:rPr>
                <w:rFonts w:ascii="Trebuchet MS" w:hAnsi="Trebuchet MS"/>
                <w:b/>
                <w:bCs/>
                <w:color w:val="auto"/>
                <w:sz w:val="24"/>
                <w:szCs w:val="24"/>
              </w:rPr>
            </w:pPr>
            <w:r>
              <w:rPr>
                <w:rFonts w:ascii="Trebuchet MS" w:hAnsi="Trebuchet MS"/>
                <w:b/>
                <w:bCs/>
                <w:color w:val="auto"/>
                <w:sz w:val="24"/>
                <w:szCs w:val="24"/>
              </w:rPr>
              <w:t xml:space="preserve">Above </w:t>
            </w:r>
            <w:r w:rsidR="00F073B1" w:rsidRPr="00A32156">
              <w:rPr>
                <w:rFonts w:ascii="Trebuchet MS" w:hAnsi="Trebuchet MS"/>
                <w:b/>
                <w:bCs/>
                <w:color w:val="auto"/>
                <w:sz w:val="24"/>
                <w:szCs w:val="24"/>
              </w:rPr>
              <w:t>30,00</w:t>
            </w:r>
            <w:r>
              <w:rPr>
                <w:rFonts w:ascii="Trebuchet MS" w:hAnsi="Trebuchet MS"/>
                <w:b/>
                <w:bCs/>
                <w:color w:val="auto"/>
                <w:sz w:val="24"/>
                <w:szCs w:val="24"/>
              </w:rPr>
              <w:t>0</w:t>
            </w:r>
            <w:r w:rsidR="00F073B1" w:rsidRPr="00A32156">
              <w:rPr>
                <w:rFonts w:ascii="Trebuchet MS" w:hAnsi="Trebuchet MS"/>
                <w:b/>
                <w:bCs/>
                <w:color w:val="auto"/>
                <w:sz w:val="24"/>
                <w:szCs w:val="24"/>
              </w:rPr>
              <w:t xml:space="preserve"> - £</w:t>
            </w:r>
            <w:r w:rsidR="002E43DD">
              <w:rPr>
                <w:rFonts w:ascii="Trebuchet MS" w:hAnsi="Trebuchet MS"/>
                <w:b/>
                <w:bCs/>
                <w:color w:val="auto"/>
                <w:sz w:val="24"/>
                <w:szCs w:val="24"/>
              </w:rPr>
              <w:t xml:space="preserve">213, 477 </w:t>
            </w:r>
            <w:r w:rsidR="00F073B1" w:rsidRPr="00A32156">
              <w:rPr>
                <w:rFonts w:ascii="Trebuchet MS" w:hAnsi="Trebuchet MS"/>
                <w:b/>
                <w:bCs/>
                <w:color w:val="auto"/>
                <w:sz w:val="24"/>
                <w:szCs w:val="24"/>
              </w:rPr>
              <w:t>including VAT</w:t>
            </w:r>
            <w:r w:rsidR="002E43DD">
              <w:rPr>
                <w:rFonts w:ascii="Trebuchet MS" w:hAnsi="Trebuchet MS"/>
                <w:b/>
                <w:bCs/>
                <w:color w:val="auto"/>
                <w:sz w:val="24"/>
                <w:szCs w:val="24"/>
              </w:rPr>
              <w:t xml:space="preserve"> (</w:t>
            </w:r>
            <w:r w:rsidR="005C555E">
              <w:rPr>
                <w:rFonts w:ascii="Trebuchet MS" w:hAnsi="Trebuchet MS"/>
                <w:b/>
                <w:bCs/>
                <w:color w:val="auto"/>
                <w:sz w:val="24"/>
                <w:szCs w:val="24"/>
              </w:rPr>
              <w:t xml:space="preserve">Public </w:t>
            </w:r>
            <w:r w:rsidR="008D1D8D">
              <w:rPr>
                <w:rFonts w:ascii="Trebuchet MS" w:hAnsi="Trebuchet MS"/>
                <w:b/>
                <w:bCs/>
                <w:color w:val="auto"/>
                <w:sz w:val="24"/>
                <w:szCs w:val="24"/>
              </w:rPr>
              <w:t>Procurement</w:t>
            </w:r>
            <w:r w:rsidR="005C555E">
              <w:rPr>
                <w:rFonts w:ascii="Trebuchet MS" w:hAnsi="Trebuchet MS"/>
                <w:b/>
                <w:bCs/>
                <w:color w:val="auto"/>
                <w:sz w:val="24"/>
                <w:szCs w:val="24"/>
              </w:rPr>
              <w:t xml:space="preserve"> Threshold)</w:t>
            </w:r>
          </w:p>
        </w:tc>
        <w:tc>
          <w:tcPr>
            <w:cnfStyle w:val="000001000000" w:firstRow="0" w:lastRow="0" w:firstColumn="0" w:lastColumn="0" w:oddVBand="0" w:evenVBand="1" w:oddHBand="0" w:evenHBand="0" w:firstRowFirstColumn="0" w:firstRowLastColumn="0" w:lastRowFirstColumn="0" w:lastRowLastColumn="0"/>
            <w:tcW w:w="2330" w:type="dxa"/>
            <w:shd w:val="clear" w:color="auto" w:fill="D9D9D9" w:themeFill="background1" w:themeFillShade="D9"/>
          </w:tcPr>
          <w:p w14:paraId="58D75F2C" w14:textId="77777777" w:rsidR="00F073B1" w:rsidRPr="00A32156" w:rsidRDefault="00F073B1" w:rsidP="008202D3">
            <w:pPr>
              <w:pStyle w:val="NormalWeb"/>
              <w:spacing w:before="60" w:beforeAutospacing="0" w:after="60" w:afterAutospacing="0"/>
              <w:jc w:val="both"/>
              <w:rPr>
                <w:rFonts w:ascii="Trebuchet MS" w:hAnsi="Trebuchet MS"/>
                <w:color w:val="auto"/>
                <w:sz w:val="24"/>
                <w:szCs w:val="24"/>
              </w:rPr>
            </w:pPr>
            <w:r w:rsidRPr="00A32156">
              <w:rPr>
                <w:rFonts w:ascii="Trebuchet MS" w:hAnsi="Trebuchet MS"/>
                <w:color w:val="auto"/>
                <w:sz w:val="24"/>
                <w:szCs w:val="24"/>
              </w:rPr>
              <w:t>Procurement</w:t>
            </w:r>
          </w:p>
        </w:tc>
        <w:tc>
          <w:tcPr>
            <w:cnfStyle w:val="000010000000" w:firstRow="0" w:lastRow="0" w:firstColumn="0" w:lastColumn="0" w:oddVBand="1" w:evenVBand="0" w:oddHBand="0" w:evenHBand="0" w:firstRowFirstColumn="0" w:firstRowLastColumn="0" w:lastRowFirstColumn="0" w:lastRowLastColumn="0"/>
            <w:tcW w:w="4962" w:type="dxa"/>
          </w:tcPr>
          <w:p w14:paraId="6CECC966" w14:textId="253050A8" w:rsidR="00150FA6" w:rsidRDefault="00553257" w:rsidP="00766943">
            <w:pPr>
              <w:pStyle w:val="NormalWeb"/>
              <w:spacing w:before="60" w:beforeAutospacing="0" w:after="60" w:afterAutospacing="0" w:line="240" w:lineRule="auto"/>
              <w:ind w:right="180"/>
              <w:rPr>
                <w:rFonts w:ascii="Trebuchet MS" w:hAnsi="Trebuchet MS"/>
                <w:b/>
                <w:bCs/>
                <w:color w:val="auto"/>
                <w:sz w:val="24"/>
                <w:szCs w:val="24"/>
              </w:rPr>
            </w:pPr>
            <w:r w:rsidRPr="005F58E9">
              <w:rPr>
                <w:rFonts w:ascii="Trebuchet MS" w:hAnsi="Trebuchet MS"/>
                <w:b/>
                <w:bCs/>
                <w:color w:val="auto"/>
                <w:sz w:val="24"/>
                <w:szCs w:val="24"/>
              </w:rPr>
              <w:t>Competitive Tendering</w:t>
            </w:r>
            <w:r w:rsidR="00787F05" w:rsidRPr="005F58E9">
              <w:rPr>
                <w:rFonts w:ascii="Trebuchet MS" w:hAnsi="Trebuchet MS"/>
                <w:b/>
                <w:bCs/>
                <w:color w:val="auto"/>
                <w:sz w:val="24"/>
                <w:szCs w:val="24"/>
              </w:rPr>
              <w:t xml:space="preserve"> Process</w:t>
            </w:r>
            <w:r w:rsidR="00A30373">
              <w:rPr>
                <w:rFonts w:ascii="Trebuchet MS" w:hAnsi="Trebuchet MS"/>
                <w:b/>
                <w:bCs/>
                <w:color w:val="auto"/>
                <w:sz w:val="24"/>
                <w:szCs w:val="24"/>
              </w:rPr>
              <w:t xml:space="preserve"> in accordance with Public Procurement </w:t>
            </w:r>
            <w:r w:rsidR="00AC3539">
              <w:rPr>
                <w:rFonts w:ascii="Trebuchet MS" w:hAnsi="Trebuchet MS"/>
                <w:b/>
                <w:bCs/>
                <w:color w:val="auto"/>
                <w:sz w:val="24"/>
                <w:szCs w:val="24"/>
              </w:rPr>
              <w:t>Regulations.</w:t>
            </w:r>
          </w:p>
          <w:p w14:paraId="747824D9" w14:textId="1AC3D4B5" w:rsidR="005F58E9" w:rsidRDefault="005F58E9" w:rsidP="00766943">
            <w:pPr>
              <w:pStyle w:val="NormalWeb"/>
              <w:spacing w:before="60" w:beforeAutospacing="0" w:after="60" w:afterAutospacing="0" w:line="240" w:lineRule="auto"/>
              <w:ind w:right="180"/>
              <w:rPr>
                <w:rFonts w:ascii="Trebuchet MS" w:hAnsi="Trebuchet MS"/>
                <w:b/>
                <w:bCs/>
                <w:color w:val="auto"/>
                <w:sz w:val="24"/>
                <w:szCs w:val="24"/>
              </w:rPr>
            </w:pPr>
          </w:p>
          <w:p w14:paraId="3D497FF3" w14:textId="11CEA38F" w:rsidR="006B44FF" w:rsidRPr="00766943" w:rsidRDefault="006B44FF" w:rsidP="00AC3539">
            <w:pPr>
              <w:pStyle w:val="NormalWeb"/>
              <w:spacing w:before="60" w:beforeAutospacing="0" w:after="60" w:afterAutospacing="0" w:line="240" w:lineRule="auto"/>
              <w:ind w:right="180"/>
              <w:rPr>
                <w:rFonts w:ascii="Trebuchet MS" w:hAnsi="Trebuchet MS"/>
                <w:color w:val="auto"/>
                <w:sz w:val="24"/>
                <w:szCs w:val="24"/>
              </w:rPr>
            </w:pPr>
          </w:p>
        </w:tc>
      </w:tr>
      <w:tr w:rsidR="008D1D8D" w:rsidRPr="00A32156" w14:paraId="37B5E266" w14:textId="77777777" w:rsidTr="00AC353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8" w:type="dxa"/>
            <w:shd w:val="clear" w:color="auto" w:fill="D9D9D9" w:themeFill="background1" w:themeFillShade="D9"/>
          </w:tcPr>
          <w:p w14:paraId="31CE63BF" w14:textId="187C96BB" w:rsidR="00F073B1" w:rsidRPr="00A32156" w:rsidRDefault="00F073B1" w:rsidP="008202D3">
            <w:pPr>
              <w:pStyle w:val="NormalWeb"/>
              <w:spacing w:before="60" w:beforeAutospacing="0" w:after="60" w:afterAutospacing="0"/>
              <w:jc w:val="both"/>
              <w:rPr>
                <w:rFonts w:ascii="Trebuchet MS" w:hAnsi="Trebuchet MS"/>
                <w:b/>
                <w:bCs/>
                <w:color w:val="auto"/>
                <w:sz w:val="24"/>
                <w:szCs w:val="24"/>
                <w:highlight w:val="yellow"/>
              </w:rPr>
            </w:pPr>
            <w:r w:rsidRPr="00A32156">
              <w:rPr>
                <w:rFonts w:ascii="Trebuchet MS" w:hAnsi="Trebuchet MS"/>
                <w:b/>
                <w:bCs/>
                <w:color w:val="auto"/>
                <w:sz w:val="24"/>
                <w:szCs w:val="24"/>
              </w:rPr>
              <w:t xml:space="preserve">Above </w:t>
            </w:r>
            <w:r w:rsidRPr="00A32156">
              <w:rPr>
                <w:rFonts w:ascii="Trebuchet MS" w:hAnsi="Trebuchet MS"/>
                <w:b/>
                <w:bCs/>
                <w:color w:val="auto"/>
                <w:sz w:val="24"/>
                <w:szCs w:val="24"/>
                <w:highlight w:val="lightGray"/>
                <w:shd w:val="clear" w:color="auto" w:fill="FFFFFF"/>
              </w:rPr>
              <w:t xml:space="preserve">£213,477 </w:t>
            </w:r>
            <w:r w:rsidRPr="00A32156">
              <w:rPr>
                <w:rFonts w:ascii="Trebuchet MS" w:hAnsi="Trebuchet MS"/>
                <w:b/>
                <w:bCs/>
                <w:color w:val="auto"/>
                <w:sz w:val="24"/>
                <w:szCs w:val="24"/>
              </w:rPr>
              <w:t>including VAT</w:t>
            </w:r>
          </w:p>
          <w:p w14:paraId="55D56656" w14:textId="7EAF3ED3" w:rsidR="00F073B1" w:rsidRPr="00A32156" w:rsidRDefault="00034001" w:rsidP="008202D3">
            <w:pPr>
              <w:pStyle w:val="NormalWeb"/>
              <w:spacing w:before="60" w:beforeAutospacing="0" w:after="60" w:afterAutospacing="0"/>
              <w:jc w:val="both"/>
              <w:rPr>
                <w:rFonts w:ascii="Trebuchet MS" w:hAnsi="Trebuchet MS"/>
                <w:b/>
                <w:bCs/>
                <w:color w:val="auto"/>
                <w:sz w:val="24"/>
                <w:szCs w:val="24"/>
              </w:rPr>
            </w:pPr>
            <w:r>
              <w:rPr>
                <w:rFonts w:ascii="Trebuchet MS" w:hAnsi="Trebuchet MS"/>
                <w:b/>
                <w:bCs/>
                <w:color w:val="auto"/>
                <w:sz w:val="24"/>
                <w:szCs w:val="24"/>
              </w:rPr>
              <w:t>(Public Procurement Threshold)</w:t>
            </w:r>
          </w:p>
        </w:tc>
        <w:tc>
          <w:tcPr>
            <w:cnfStyle w:val="000001000000" w:firstRow="0" w:lastRow="0" w:firstColumn="0" w:lastColumn="0" w:oddVBand="0" w:evenVBand="1" w:oddHBand="0" w:evenHBand="0" w:firstRowFirstColumn="0" w:firstRowLastColumn="0" w:lastRowFirstColumn="0" w:lastRowLastColumn="0"/>
            <w:tcW w:w="2330" w:type="dxa"/>
            <w:shd w:val="clear" w:color="auto" w:fill="D9D9D9" w:themeFill="background1" w:themeFillShade="D9"/>
          </w:tcPr>
          <w:p w14:paraId="76C3C3CF" w14:textId="77777777" w:rsidR="00F073B1" w:rsidRPr="00A32156" w:rsidRDefault="00F073B1" w:rsidP="008202D3">
            <w:pPr>
              <w:pStyle w:val="NormalWeb"/>
              <w:spacing w:before="60" w:beforeAutospacing="0" w:after="60" w:afterAutospacing="0"/>
              <w:jc w:val="both"/>
              <w:rPr>
                <w:rFonts w:ascii="Trebuchet MS" w:hAnsi="Trebuchet MS"/>
                <w:color w:val="auto"/>
                <w:sz w:val="24"/>
                <w:szCs w:val="24"/>
              </w:rPr>
            </w:pPr>
            <w:r w:rsidRPr="00A32156">
              <w:rPr>
                <w:rFonts w:ascii="Trebuchet MS" w:hAnsi="Trebuchet MS"/>
                <w:color w:val="auto"/>
                <w:sz w:val="24"/>
                <w:szCs w:val="24"/>
              </w:rPr>
              <w:t>Procurement</w:t>
            </w:r>
          </w:p>
        </w:tc>
        <w:tc>
          <w:tcPr>
            <w:cnfStyle w:val="000010000000" w:firstRow="0" w:lastRow="0" w:firstColumn="0" w:lastColumn="0" w:oddVBand="1" w:evenVBand="0" w:oddHBand="0" w:evenHBand="0" w:firstRowFirstColumn="0" w:firstRowLastColumn="0" w:lastRowFirstColumn="0" w:lastRowLastColumn="0"/>
            <w:tcW w:w="4962" w:type="dxa"/>
          </w:tcPr>
          <w:p w14:paraId="42DDF711" w14:textId="322E87FE" w:rsidR="008A1A57" w:rsidRPr="000F3890" w:rsidRDefault="00AC3539" w:rsidP="008A1A57">
            <w:pPr>
              <w:pStyle w:val="NormalWeb"/>
              <w:spacing w:before="60" w:beforeAutospacing="0" w:after="60" w:afterAutospacing="0"/>
              <w:ind w:right="180"/>
              <w:rPr>
                <w:rFonts w:ascii="Trebuchet MS" w:hAnsi="Trebuchet MS"/>
                <w:b/>
                <w:bCs/>
                <w:color w:val="auto"/>
                <w:sz w:val="24"/>
                <w:szCs w:val="24"/>
              </w:rPr>
            </w:pPr>
            <w:r>
              <w:rPr>
                <w:rFonts w:ascii="Trebuchet MS" w:hAnsi="Trebuchet MS"/>
                <w:b/>
                <w:bCs/>
                <w:color w:val="auto"/>
                <w:sz w:val="24"/>
                <w:szCs w:val="24"/>
              </w:rPr>
              <w:t>C</w:t>
            </w:r>
            <w:r w:rsidR="00F073B1" w:rsidRPr="000F3890">
              <w:rPr>
                <w:rFonts w:ascii="Trebuchet MS" w:hAnsi="Trebuchet MS"/>
                <w:b/>
                <w:bCs/>
                <w:color w:val="auto"/>
                <w:sz w:val="24"/>
                <w:szCs w:val="24"/>
              </w:rPr>
              <w:t xml:space="preserve">ompetitive tender process in accordance with </w:t>
            </w:r>
            <w:r w:rsidR="008A1A57" w:rsidRPr="000F3890">
              <w:rPr>
                <w:rFonts w:ascii="Trebuchet MS" w:hAnsi="Trebuchet MS"/>
                <w:b/>
                <w:bCs/>
                <w:color w:val="auto"/>
                <w:sz w:val="24"/>
                <w:szCs w:val="24"/>
              </w:rPr>
              <w:t>Public Procurement Regulations.</w:t>
            </w:r>
          </w:p>
          <w:p w14:paraId="42A10E7E" w14:textId="05397254" w:rsidR="000F3890" w:rsidRPr="006501D0" w:rsidRDefault="000F3890" w:rsidP="00AC3539">
            <w:pPr>
              <w:pStyle w:val="NormalWeb"/>
              <w:spacing w:before="60" w:beforeAutospacing="0" w:after="60" w:afterAutospacing="0" w:line="240" w:lineRule="auto"/>
              <w:ind w:right="180"/>
              <w:rPr>
                <w:rFonts w:ascii="Trebuchet MS" w:hAnsi="Trebuchet MS"/>
                <w:color w:val="auto"/>
                <w:sz w:val="24"/>
                <w:szCs w:val="24"/>
              </w:rPr>
            </w:pPr>
          </w:p>
        </w:tc>
      </w:tr>
    </w:tbl>
    <w:p w14:paraId="12385BB6" w14:textId="77777777" w:rsidR="00E15C13" w:rsidRPr="00E15C13" w:rsidRDefault="00E15C13" w:rsidP="00E15C13">
      <w:pPr>
        <w:pStyle w:val="OurBody"/>
        <w:rPr>
          <w:lang w:val="en-US"/>
        </w:rPr>
      </w:pPr>
    </w:p>
    <w:p w14:paraId="35EC8DBC" w14:textId="37593C07" w:rsidR="00157C26" w:rsidRDefault="00157C26">
      <w:pPr>
        <w:spacing w:after="160" w:line="259" w:lineRule="auto"/>
        <w:rPr>
          <w:rFonts w:ascii="Trebuchet MS" w:hAnsi="Trebuchet MS" w:cs="Arial"/>
          <w:color w:val="000000" w:themeColor="text1"/>
          <w:sz w:val="24"/>
          <w:szCs w:val="20"/>
          <w:lang w:val="en-US"/>
        </w:rPr>
      </w:pPr>
      <w:r>
        <w:rPr>
          <w:lang w:val="en-US"/>
        </w:rPr>
        <w:br w:type="page"/>
      </w:r>
    </w:p>
    <w:p w14:paraId="109F1C04" w14:textId="48198F44" w:rsidR="007B78D0" w:rsidRDefault="00614857" w:rsidP="00614857">
      <w:pPr>
        <w:pStyle w:val="OurHighlightHeader"/>
        <w:rPr>
          <w:rFonts w:eastAsiaTheme="minorHAnsi"/>
        </w:rPr>
      </w:pPr>
      <w:r>
        <w:rPr>
          <w:rFonts w:eastAsiaTheme="minorHAnsi"/>
        </w:rPr>
        <w:lastRenderedPageBreak/>
        <w:t>Useful Links:</w:t>
      </w:r>
    </w:p>
    <w:p w14:paraId="179A0DCE" w14:textId="0C10531C" w:rsidR="00614857" w:rsidRDefault="00614857" w:rsidP="00614857">
      <w:pPr>
        <w:pStyle w:val="OurBody"/>
        <w:rPr>
          <w:rFonts w:eastAsiaTheme="minorHAnsi"/>
          <w:lang w:val="en-US"/>
        </w:rPr>
      </w:pPr>
    </w:p>
    <w:p w14:paraId="69510048" w14:textId="167DBAA6" w:rsidR="00614857" w:rsidRPr="00157C26" w:rsidRDefault="00614857" w:rsidP="00614857">
      <w:pPr>
        <w:pStyle w:val="OurBody"/>
        <w:rPr>
          <w:rFonts w:eastAsiaTheme="minorHAnsi"/>
          <w:b/>
          <w:bCs/>
          <w:lang w:val="en-US"/>
        </w:rPr>
      </w:pPr>
      <w:r w:rsidRPr="00157C26">
        <w:rPr>
          <w:rFonts w:eastAsiaTheme="minorHAnsi"/>
          <w:b/>
          <w:bCs/>
          <w:lang w:val="en-US"/>
        </w:rPr>
        <w:t>Contracts Finder</w:t>
      </w:r>
    </w:p>
    <w:p w14:paraId="706E3C55" w14:textId="681C870B" w:rsidR="00614857" w:rsidRDefault="00DE3593" w:rsidP="00614857">
      <w:pPr>
        <w:pStyle w:val="OurBody"/>
        <w:rPr>
          <w:rFonts w:eastAsiaTheme="minorHAnsi"/>
          <w:lang w:val="en-US"/>
        </w:rPr>
      </w:pPr>
      <w:hyperlink r:id="rId12" w:history="1">
        <w:r w:rsidR="006C740E" w:rsidRPr="00413CBA">
          <w:rPr>
            <w:rStyle w:val="Hyperlink"/>
            <w:rFonts w:eastAsiaTheme="minorHAnsi"/>
            <w:lang w:val="en-US"/>
          </w:rPr>
          <w:t>https://www.gov.uk/contracts-finder</w:t>
        </w:r>
      </w:hyperlink>
    </w:p>
    <w:p w14:paraId="13F06E0E" w14:textId="4A917291" w:rsidR="006C740E" w:rsidRDefault="006C740E" w:rsidP="00614857">
      <w:pPr>
        <w:pStyle w:val="OurBody"/>
        <w:rPr>
          <w:rFonts w:eastAsiaTheme="minorHAnsi"/>
          <w:lang w:val="en-US"/>
        </w:rPr>
      </w:pPr>
    </w:p>
    <w:p w14:paraId="48E50BB4" w14:textId="134834A0" w:rsidR="006C740E" w:rsidRPr="00157C26" w:rsidRDefault="006C740E" w:rsidP="00614857">
      <w:pPr>
        <w:pStyle w:val="OurBody"/>
        <w:rPr>
          <w:rFonts w:eastAsiaTheme="minorHAnsi"/>
          <w:b/>
          <w:bCs/>
          <w:lang w:val="en-US"/>
        </w:rPr>
      </w:pPr>
      <w:r w:rsidRPr="00157C26">
        <w:rPr>
          <w:rFonts w:eastAsiaTheme="minorHAnsi"/>
          <w:b/>
          <w:bCs/>
          <w:lang w:val="en-US"/>
        </w:rPr>
        <w:t>Find a Tender</w:t>
      </w:r>
    </w:p>
    <w:p w14:paraId="5417ABF9" w14:textId="38B2A28B" w:rsidR="00157C26" w:rsidRDefault="00DE3593" w:rsidP="00614857">
      <w:pPr>
        <w:pStyle w:val="OurBody"/>
        <w:rPr>
          <w:rFonts w:eastAsiaTheme="minorHAnsi"/>
          <w:lang w:val="en-US"/>
        </w:rPr>
      </w:pPr>
      <w:hyperlink r:id="rId13" w:history="1">
        <w:r w:rsidR="00157C26" w:rsidRPr="00413CBA">
          <w:rPr>
            <w:rStyle w:val="Hyperlink"/>
            <w:rFonts w:eastAsiaTheme="minorHAnsi"/>
            <w:lang w:val="en-US"/>
          </w:rPr>
          <w:t>https://www.gov.uk/find-tender</w:t>
        </w:r>
      </w:hyperlink>
    </w:p>
    <w:p w14:paraId="2A39140B" w14:textId="0ECA47F0" w:rsidR="00157C26" w:rsidRDefault="00157C26" w:rsidP="00614857">
      <w:pPr>
        <w:pStyle w:val="OurBody"/>
        <w:rPr>
          <w:rFonts w:eastAsiaTheme="minorHAnsi"/>
          <w:lang w:val="en-US"/>
        </w:rPr>
      </w:pPr>
    </w:p>
    <w:p w14:paraId="01367B96" w14:textId="42FFF797" w:rsidR="00157C26" w:rsidRDefault="00157C26" w:rsidP="00614857">
      <w:pPr>
        <w:pStyle w:val="OurBody"/>
        <w:rPr>
          <w:rFonts w:eastAsiaTheme="minorHAnsi"/>
          <w:b/>
          <w:bCs/>
          <w:lang w:val="en-US"/>
        </w:rPr>
      </w:pPr>
      <w:r w:rsidRPr="00157C26">
        <w:rPr>
          <w:rFonts w:eastAsiaTheme="minorHAnsi"/>
          <w:b/>
          <w:bCs/>
          <w:lang w:val="en-US"/>
        </w:rPr>
        <w:t>Public Contract Regulations</w:t>
      </w:r>
    </w:p>
    <w:p w14:paraId="70CA262F" w14:textId="1E85B7FF" w:rsidR="00157C26" w:rsidRDefault="00DE3593" w:rsidP="00614857">
      <w:pPr>
        <w:pStyle w:val="OurBody"/>
        <w:rPr>
          <w:rFonts w:eastAsiaTheme="minorHAnsi"/>
          <w:lang w:val="en-US"/>
        </w:rPr>
      </w:pPr>
      <w:hyperlink r:id="rId14" w:history="1">
        <w:r w:rsidR="003767B0" w:rsidRPr="00413CBA">
          <w:rPr>
            <w:rStyle w:val="Hyperlink"/>
            <w:rFonts w:eastAsiaTheme="minorHAnsi"/>
            <w:lang w:val="en-US"/>
          </w:rPr>
          <w:t>https://www.legislation.gov.uk/uksi/2015/102/contents/made</w:t>
        </w:r>
      </w:hyperlink>
    </w:p>
    <w:p w14:paraId="0AF06484" w14:textId="434CDC3E" w:rsidR="00B26F46" w:rsidRDefault="00B26F46" w:rsidP="00614857">
      <w:pPr>
        <w:pStyle w:val="OurBody"/>
        <w:rPr>
          <w:rFonts w:eastAsiaTheme="minorHAnsi"/>
          <w:lang w:val="en-US"/>
        </w:rPr>
      </w:pPr>
    </w:p>
    <w:p w14:paraId="76AA0A84" w14:textId="42AF4872" w:rsidR="00B26F46" w:rsidRPr="00195CAB" w:rsidRDefault="00B26F46" w:rsidP="00614857">
      <w:pPr>
        <w:pStyle w:val="OurBody"/>
        <w:rPr>
          <w:rFonts w:eastAsiaTheme="minorHAnsi"/>
          <w:b/>
          <w:bCs/>
          <w:lang w:val="en-US"/>
        </w:rPr>
      </w:pPr>
      <w:r w:rsidRPr="00195CAB">
        <w:rPr>
          <w:rFonts w:eastAsiaTheme="minorHAnsi"/>
          <w:b/>
          <w:bCs/>
          <w:lang w:val="en-US"/>
        </w:rPr>
        <w:t>Social Value</w:t>
      </w:r>
    </w:p>
    <w:p w14:paraId="597B166D" w14:textId="2276C2B5" w:rsidR="00195CAB" w:rsidRDefault="00DE3593" w:rsidP="00614857">
      <w:pPr>
        <w:pStyle w:val="OurBody"/>
        <w:rPr>
          <w:rFonts w:eastAsiaTheme="minorHAnsi"/>
          <w:lang w:val="en-US"/>
        </w:rPr>
      </w:pPr>
      <w:hyperlink r:id="rId15" w:history="1">
        <w:r w:rsidR="00195CAB" w:rsidRPr="00413CBA">
          <w:rPr>
            <w:rStyle w:val="Hyperlink"/>
            <w:rFonts w:eastAsiaTheme="minorHAnsi"/>
            <w:lang w:val="en-US"/>
          </w:rPr>
          <w:t>https://www.gov.uk/government/publications/social-value-act-information-and-resources/social-value-act-information-and-resources</w:t>
        </w:r>
      </w:hyperlink>
    </w:p>
    <w:p w14:paraId="010B0CAD" w14:textId="06FE7256" w:rsidR="00195CAB" w:rsidRDefault="00195CAB" w:rsidP="00614857">
      <w:pPr>
        <w:pStyle w:val="OurBody"/>
        <w:rPr>
          <w:rFonts w:eastAsiaTheme="minorHAnsi"/>
          <w:lang w:val="en-US"/>
        </w:rPr>
      </w:pPr>
    </w:p>
    <w:p w14:paraId="6A7507D5" w14:textId="26BA783B" w:rsidR="00195CAB" w:rsidRDefault="00195CAB" w:rsidP="00614857">
      <w:pPr>
        <w:pStyle w:val="OurBody"/>
        <w:rPr>
          <w:rFonts w:eastAsiaTheme="minorHAnsi"/>
          <w:lang w:val="en-US"/>
        </w:rPr>
      </w:pPr>
    </w:p>
    <w:p w14:paraId="5AA340F4" w14:textId="77777777" w:rsidR="00195CAB" w:rsidRDefault="00195CAB" w:rsidP="00614857">
      <w:pPr>
        <w:pStyle w:val="OurBody"/>
        <w:rPr>
          <w:rFonts w:eastAsiaTheme="minorHAnsi"/>
          <w:lang w:val="en-US"/>
        </w:rPr>
      </w:pPr>
    </w:p>
    <w:p w14:paraId="7DCCD21E" w14:textId="77777777" w:rsidR="00B26F46" w:rsidRDefault="00B26F46" w:rsidP="00614857">
      <w:pPr>
        <w:pStyle w:val="OurBody"/>
        <w:rPr>
          <w:rFonts w:eastAsiaTheme="minorHAnsi"/>
          <w:lang w:val="en-US"/>
        </w:rPr>
      </w:pPr>
    </w:p>
    <w:p w14:paraId="4CD0AB06" w14:textId="7EF14CBB" w:rsidR="003767B0" w:rsidRDefault="003767B0" w:rsidP="00614857">
      <w:pPr>
        <w:pStyle w:val="OurBody"/>
        <w:rPr>
          <w:rFonts w:eastAsiaTheme="minorHAnsi"/>
          <w:lang w:val="en-US"/>
        </w:rPr>
      </w:pPr>
    </w:p>
    <w:p w14:paraId="0A199F84" w14:textId="77777777" w:rsidR="003767B0" w:rsidRPr="003767B0" w:rsidRDefault="003767B0" w:rsidP="00614857">
      <w:pPr>
        <w:pStyle w:val="OurBody"/>
        <w:rPr>
          <w:rFonts w:eastAsiaTheme="minorHAnsi"/>
          <w:lang w:val="en-US"/>
        </w:rPr>
      </w:pPr>
    </w:p>
    <w:p w14:paraId="0D1B8058" w14:textId="77777777" w:rsidR="00157C26" w:rsidRPr="00157C26" w:rsidRDefault="00157C26" w:rsidP="00614857">
      <w:pPr>
        <w:pStyle w:val="OurBody"/>
        <w:rPr>
          <w:rFonts w:eastAsiaTheme="minorHAnsi"/>
          <w:b/>
          <w:bCs/>
          <w:lang w:val="en-US"/>
        </w:rPr>
      </w:pPr>
    </w:p>
    <w:p w14:paraId="2F376012" w14:textId="77777777" w:rsidR="00614857" w:rsidRPr="00614857" w:rsidRDefault="00614857" w:rsidP="00614857">
      <w:pPr>
        <w:pStyle w:val="OurBody"/>
        <w:rPr>
          <w:rFonts w:eastAsiaTheme="minorHAnsi"/>
          <w:lang w:val="en-US"/>
        </w:rPr>
      </w:pPr>
    </w:p>
    <w:sectPr w:rsidR="00614857" w:rsidRPr="00614857" w:rsidSect="00E83983">
      <w:footerReference w:type="default" r:id="rId16"/>
      <w:headerReference w:type="first" r:id="rId17"/>
      <w:footerReference w:type="first" r:id="rId18"/>
      <w:pgSz w:w="11906" w:h="16838"/>
      <w:pgMar w:top="1254" w:right="1418" w:bottom="1125" w:left="1276"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8208" w14:textId="77777777" w:rsidR="0072009E" w:rsidRDefault="0072009E" w:rsidP="00F33CAF">
      <w:pPr>
        <w:spacing w:after="0" w:line="240" w:lineRule="auto"/>
      </w:pPr>
      <w:r>
        <w:separator/>
      </w:r>
    </w:p>
    <w:p w14:paraId="5D090DCC" w14:textId="77777777" w:rsidR="0072009E" w:rsidRDefault="0072009E"/>
  </w:endnote>
  <w:endnote w:type="continuationSeparator" w:id="0">
    <w:p w14:paraId="5DCECA66" w14:textId="77777777" w:rsidR="0072009E" w:rsidRDefault="0072009E" w:rsidP="00F33CAF">
      <w:pPr>
        <w:spacing w:after="0" w:line="240" w:lineRule="auto"/>
      </w:pPr>
      <w:r>
        <w:continuationSeparator/>
      </w:r>
    </w:p>
    <w:p w14:paraId="61378771" w14:textId="77777777" w:rsidR="0072009E" w:rsidRDefault="00720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9817" w14:textId="711CE1C6" w:rsidR="00481477" w:rsidRPr="00481477" w:rsidRDefault="00481477" w:rsidP="00481477">
    <w:pPr>
      <w:pStyle w:val="OurFooter"/>
      <w:tabs>
        <w:tab w:val="clear" w:pos="8364"/>
        <w:tab w:val="clear" w:pos="8647"/>
        <w:tab w:val="clear" w:pos="9026"/>
        <w:tab w:val="right" w:pos="14875"/>
      </w:tabs>
      <w:jc w:val="left"/>
    </w:pPr>
    <w:r w:rsidRPr="004C3981">
      <w:t>The National Lottery</w:t>
    </w:r>
    <w:r>
      <w:t xml:space="preserve"> Community Fund</w:t>
    </w:r>
    <w:r w:rsidRPr="004C3981">
      <w:tab/>
    </w:r>
    <w:sdt>
      <w:sdtPr>
        <w:id w:val="-1552840832"/>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t>1</w:t>
        </w:r>
        <w:r w:rsidRPr="004C398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382A" w14:textId="5ACA7E6D" w:rsidR="00E83983" w:rsidRDefault="00481477" w:rsidP="00481477">
    <w:pPr>
      <w:pStyle w:val="OurFooter"/>
    </w:pPr>
    <w:r w:rsidRPr="00523C09">
      <w:t>tnlcommunityfund.org.uk</w:t>
    </w:r>
  </w:p>
  <w:p w14:paraId="256103C0" w14:textId="5BEA658D" w:rsidR="00950C24" w:rsidRPr="00481477" w:rsidRDefault="00950C24" w:rsidP="00481477">
    <w:pPr>
      <w:pStyle w:val="OurFooter"/>
    </w:pPr>
    <w:r>
      <w:t xml:space="preserve">Date: </w:t>
    </w:r>
    <w:r w:rsidR="00C02123">
      <w:t>01/12/2022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9FC0" w14:textId="77777777" w:rsidR="0072009E" w:rsidRDefault="0072009E" w:rsidP="00F33CAF">
      <w:pPr>
        <w:spacing w:after="0" w:line="240" w:lineRule="auto"/>
      </w:pPr>
      <w:r>
        <w:separator/>
      </w:r>
    </w:p>
    <w:p w14:paraId="721B5EC4" w14:textId="77777777" w:rsidR="0072009E" w:rsidRDefault="0072009E"/>
  </w:footnote>
  <w:footnote w:type="continuationSeparator" w:id="0">
    <w:p w14:paraId="30782439" w14:textId="77777777" w:rsidR="0072009E" w:rsidRDefault="0072009E" w:rsidP="00F33CAF">
      <w:pPr>
        <w:spacing w:after="0" w:line="240" w:lineRule="auto"/>
      </w:pPr>
      <w:r>
        <w:continuationSeparator/>
      </w:r>
    </w:p>
    <w:p w14:paraId="0C126F7C" w14:textId="77777777" w:rsidR="0072009E" w:rsidRDefault="00720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492E" w14:textId="04FE809A" w:rsidR="001A0962" w:rsidRDefault="00481477" w:rsidP="004D111B">
    <w:pPr>
      <w:tabs>
        <w:tab w:val="left" w:pos="1880"/>
        <w:tab w:val="left" w:pos="6660"/>
        <w:tab w:val="left" w:pos="9160"/>
        <w:tab w:val="right" w:pos="9257"/>
      </w:tabs>
    </w:pPr>
    <w:r>
      <w:rPr>
        <w:noProof/>
      </w:rPr>
      <w:drawing>
        <wp:anchor distT="0" distB="0" distL="114300" distR="114300" simplePos="0" relativeHeight="251659264" behindDoc="1" locked="1" layoutInCell="1" allowOverlap="1" wp14:anchorId="32984A0B" wp14:editId="1D8A6C92">
          <wp:simplePos x="0" y="0"/>
          <wp:positionH relativeFrom="rightMargin">
            <wp:posOffset>-2454910</wp:posOffset>
          </wp:positionH>
          <wp:positionV relativeFrom="topMargin">
            <wp:posOffset>66040</wp:posOffset>
          </wp:positionV>
          <wp:extent cx="3160395" cy="1544320"/>
          <wp:effectExtent l="0" t="0" r="1905" b="5080"/>
          <wp:wrapTight wrapText="bothSides">
            <wp:wrapPolygon edited="0">
              <wp:start x="0" y="0"/>
              <wp:lineTo x="0" y="21493"/>
              <wp:lineTo x="21526" y="21493"/>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1"/>
                  <a:stretch>
                    <a:fillRect/>
                  </a:stretch>
                </pic:blipFill>
                <pic:spPr>
                  <a:xfrm>
                    <a:off x="0" y="0"/>
                    <a:ext cx="3160395" cy="1544320"/>
                  </a:xfrm>
                  <a:prstGeom prst="rect">
                    <a:avLst/>
                  </a:prstGeom>
                </pic:spPr>
              </pic:pic>
            </a:graphicData>
          </a:graphic>
          <wp14:sizeRelH relativeFrom="page">
            <wp14:pctWidth>0</wp14:pctWidth>
          </wp14:sizeRelH>
          <wp14:sizeRelV relativeFrom="page">
            <wp14:pctHeight>0</wp14:pctHeight>
          </wp14:sizeRelV>
        </wp:anchor>
      </w:drawing>
    </w:r>
  </w:p>
  <w:p w14:paraId="68E75D2C" w14:textId="77777777" w:rsidR="001A0962" w:rsidRDefault="001A0962" w:rsidP="004D111B">
    <w:pPr>
      <w:tabs>
        <w:tab w:val="left" w:pos="1880"/>
        <w:tab w:val="left" w:pos="6660"/>
        <w:tab w:val="left" w:pos="9160"/>
        <w:tab w:val="right" w:pos="9257"/>
      </w:tabs>
    </w:pPr>
  </w:p>
  <w:p w14:paraId="0EEE5DBE" w14:textId="77777777" w:rsidR="001A0962" w:rsidRPr="00666104" w:rsidRDefault="001A0962"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F479E0"/>
    <w:multiLevelType w:val="hybridMultilevel"/>
    <w:tmpl w:val="B51467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FA1308"/>
    <w:multiLevelType w:val="hybridMultilevel"/>
    <w:tmpl w:val="B3FE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D402D"/>
    <w:multiLevelType w:val="hybridMultilevel"/>
    <w:tmpl w:val="6846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5433B"/>
    <w:multiLevelType w:val="hybridMultilevel"/>
    <w:tmpl w:val="DA46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6"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9"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60C61"/>
    <w:multiLevelType w:val="hybridMultilevel"/>
    <w:tmpl w:val="C442A80C"/>
    <w:lvl w:ilvl="0" w:tplc="6EF8C2BA">
      <w:start w:val="1"/>
      <w:numFmt w:val="bullet"/>
      <w:lvlText w:val=""/>
      <w:lvlJc w:val="left"/>
      <w:pPr>
        <w:tabs>
          <w:tab w:val="num" w:pos="537"/>
        </w:tabs>
        <w:ind w:left="860" w:hanging="320"/>
      </w:pPr>
      <w:rPr>
        <w:rFonts w:ascii="Symbol" w:hAnsi="Symbol" w:hint="default"/>
        <w:color w:val="000000" w:themeColor="text1"/>
      </w:rPr>
    </w:lvl>
    <w:lvl w:ilvl="1" w:tplc="14F8B37A">
      <w:start w:val="1"/>
      <w:numFmt w:val="bullet"/>
      <w:lvlText w:val="o"/>
      <w:lvlJc w:val="left"/>
      <w:pPr>
        <w:tabs>
          <w:tab w:val="num" w:pos="1620"/>
        </w:tabs>
        <w:ind w:left="1620" w:hanging="360"/>
      </w:pPr>
      <w:rPr>
        <w:rFonts w:ascii="Courier New" w:hAnsi="Courier New" w:cs="Courier New" w:hint="default"/>
      </w:rPr>
    </w:lvl>
    <w:lvl w:ilvl="2" w:tplc="BCEADB6C">
      <w:start w:val="1"/>
      <w:numFmt w:val="bullet"/>
      <w:lvlText w:val=""/>
      <w:lvlJc w:val="left"/>
      <w:pPr>
        <w:tabs>
          <w:tab w:val="num" w:pos="2340"/>
        </w:tabs>
        <w:ind w:left="2340" w:hanging="360"/>
      </w:pPr>
      <w:rPr>
        <w:rFonts w:ascii="Wingdings" w:hAnsi="Wingdings" w:hint="default"/>
      </w:rPr>
    </w:lvl>
    <w:lvl w:ilvl="3" w:tplc="4064960C" w:tentative="1">
      <w:start w:val="1"/>
      <w:numFmt w:val="bullet"/>
      <w:lvlText w:val=""/>
      <w:lvlJc w:val="left"/>
      <w:pPr>
        <w:tabs>
          <w:tab w:val="num" w:pos="3060"/>
        </w:tabs>
        <w:ind w:left="3060" w:hanging="360"/>
      </w:pPr>
      <w:rPr>
        <w:rFonts w:ascii="Symbol" w:hAnsi="Symbol" w:hint="default"/>
      </w:rPr>
    </w:lvl>
    <w:lvl w:ilvl="4" w:tplc="B9CC7114" w:tentative="1">
      <w:start w:val="1"/>
      <w:numFmt w:val="bullet"/>
      <w:lvlText w:val="o"/>
      <w:lvlJc w:val="left"/>
      <w:pPr>
        <w:tabs>
          <w:tab w:val="num" w:pos="3780"/>
        </w:tabs>
        <w:ind w:left="3780" w:hanging="360"/>
      </w:pPr>
      <w:rPr>
        <w:rFonts w:ascii="Courier New" w:hAnsi="Courier New" w:cs="Courier New" w:hint="default"/>
      </w:rPr>
    </w:lvl>
    <w:lvl w:ilvl="5" w:tplc="6CB02C20" w:tentative="1">
      <w:start w:val="1"/>
      <w:numFmt w:val="bullet"/>
      <w:lvlText w:val=""/>
      <w:lvlJc w:val="left"/>
      <w:pPr>
        <w:tabs>
          <w:tab w:val="num" w:pos="4500"/>
        </w:tabs>
        <w:ind w:left="4500" w:hanging="360"/>
      </w:pPr>
      <w:rPr>
        <w:rFonts w:ascii="Wingdings" w:hAnsi="Wingdings" w:hint="default"/>
      </w:rPr>
    </w:lvl>
    <w:lvl w:ilvl="6" w:tplc="108046E6" w:tentative="1">
      <w:start w:val="1"/>
      <w:numFmt w:val="bullet"/>
      <w:lvlText w:val=""/>
      <w:lvlJc w:val="left"/>
      <w:pPr>
        <w:tabs>
          <w:tab w:val="num" w:pos="5220"/>
        </w:tabs>
        <w:ind w:left="5220" w:hanging="360"/>
      </w:pPr>
      <w:rPr>
        <w:rFonts w:ascii="Symbol" w:hAnsi="Symbol" w:hint="default"/>
      </w:rPr>
    </w:lvl>
    <w:lvl w:ilvl="7" w:tplc="55EA89A2" w:tentative="1">
      <w:start w:val="1"/>
      <w:numFmt w:val="bullet"/>
      <w:lvlText w:val="o"/>
      <w:lvlJc w:val="left"/>
      <w:pPr>
        <w:tabs>
          <w:tab w:val="num" w:pos="5940"/>
        </w:tabs>
        <w:ind w:left="5940" w:hanging="360"/>
      </w:pPr>
      <w:rPr>
        <w:rFonts w:ascii="Courier New" w:hAnsi="Courier New" w:cs="Courier New" w:hint="default"/>
      </w:rPr>
    </w:lvl>
    <w:lvl w:ilvl="8" w:tplc="6BE82B6E"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057173A"/>
    <w:multiLevelType w:val="multilevel"/>
    <w:tmpl w:val="B4A4A210"/>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AB3250"/>
    <w:multiLevelType w:val="hybridMultilevel"/>
    <w:tmpl w:val="AA0E8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4" w15:restartNumberingAfterBreak="0">
    <w:nsid w:val="4E9440D3"/>
    <w:multiLevelType w:val="multilevel"/>
    <w:tmpl w:val="DE82C94A"/>
    <w:lvl w:ilvl="0">
      <w:start w:val="1"/>
      <w:numFmt w:val="bullet"/>
      <w:lvlText w:val=""/>
      <w:lvlJc w:val="left"/>
      <w:pPr>
        <w:ind w:left="360" w:hanging="360"/>
      </w:pPr>
      <w:rPr>
        <w:rFonts w:ascii="Symbol" w:hAnsi="Symbol" w:hint="default"/>
        <w:b/>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58E5DC0"/>
    <w:multiLevelType w:val="hybridMultilevel"/>
    <w:tmpl w:val="D72C65B2"/>
    <w:lvl w:ilvl="0" w:tplc="6B1C6F6C">
      <w:start w:val="1"/>
      <w:numFmt w:val="bullet"/>
      <w:lvlText w:val=""/>
      <w:lvlJc w:val="left"/>
      <w:pPr>
        <w:tabs>
          <w:tab w:val="num" w:pos="537"/>
        </w:tabs>
        <w:ind w:left="860" w:hanging="320"/>
      </w:pPr>
      <w:rPr>
        <w:rFonts w:ascii="Symbol" w:hAnsi="Symbol" w:hint="default"/>
      </w:rPr>
    </w:lvl>
    <w:lvl w:ilvl="1" w:tplc="FB3CD382" w:tentative="1">
      <w:start w:val="1"/>
      <w:numFmt w:val="bullet"/>
      <w:lvlText w:val="o"/>
      <w:lvlJc w:val="left"/>
      <w:pPr>
        <w:tabs>
          <w:tab w:val="num" w:pos="1620"/>
        </w:tabs>
        <w:ind w:left="1620" w:hanging="360"/>
      </w:pPr>
      <w:rPr>
        <w:rFonts w:ascii="Courier New" w:hAnsi="Courier New" w:cs="Courier New" w:hint="default"/>
      </w:rPr>
    </w:lvl>
    <w:lvl w:ilvl="2" w:tplc="B8BC831E" w:tentative="1">
      <w:start w:val="1"/>
      <w:numFmt w:val="bullet"/>
      <w:lvlText w:val=""/>
      <w:lvlJc w:val="left"/>
      <w:pPr>
        <w:tabs>
          <w:tab w:val="num" w:pos="2340"/>
        </w:tabs>
        <w:ind w:left="2340" w:hanging="360"/>
      </w:pPr>
      <w:rPr>
        <w:rFonts w:ascii="Wingdings" w:hAnsi="Wingdings" w:hint="default"/>
      </w:rPr>
    </w:lvl>
    <w:lvl w:ilvl="3" w:tplc="814CC176" w:tentative="1">
      <w:start w:val="1"/>
      <w:numFmt w:val="bullet"/>
      <w:lvlText w:val=""/>
      <w:lvlJc w:val="left"/>
      <w:pPr>
        <w:tabs>
          <w:tab w:val="num" w:pos="3060"/>
        </w:tabs>
        <w:ind w:left="3060" w:hanging="360"/>
      </w:pPr>
      <w:rPr>
        <w:rFonts w:ascii="Symbol" w:hAnsi="Symbol" w:hint="default"/>
      </w:rPr>
    </w:lvl>
    <w:lvl w:ilvl="4" w:tplc="70887B7A" w:tentative="1">
      <w:start w:val="1"/>
      <w:numFmt w:val="bullet"/>
      <w:lvlText w:val="o"/>
      <w:lvlJc w:val="left"/>
      <w:pPr>
        <w:tabs>
          <w:tab w:val="num" w:pos="3780"/>
        </w:tabs>
        <w:ind w:left="3780" w:hanging="360"/>
      </w:pPr>
      <w:rPr>
        <w:rFonts w:ascii="Courier New" w:hAnsi="Courier New" w:cs="Courier New" w:hint="default"/>
      </w:rPr>
    </w:lvl>
    <w:lvl w:ilvl="5" w:tplc="86420E8C" w:tentative="1">
      <w:start w:val="1"/>
      <w:numFmt w:val="bullet"/>
      <w:lvlText w:val=""/>
      <w:lvlJc w:val="left"/>
      <w:pPr>
        <w:tabs>
          <w:tab w:val="num" w:pos="4500"/>
        </w:tabs>
        <w:ind w:left="4500" w:hanging="360"/>
      </w:pPr>
      <w:rPr>
        <w:rFonts w:ascii="Wingdings" w:hAnsi="Wingdings" w:hint="default"/>
      </w:rPr>
    </w:lvl>
    <w:lvl w:ilvl="6" w:tplc="6C28A448" w:tentative="1">
      <w:start w:val="1"/>
      <w:numFmt w:val="bullet"/>
      <w:lvlText w:val=""/>
      <w:lvlJc w:val="left"/>
      <w:pPr>
        <w:tabs>
          <w:tab w:val="num" w:pos="5220"/>
        </w:tabs>
        <w:ind w:left="5220" w:hanging="360"/>
      </w:pPr>
      <w:rPr>
        <w:rFonts w:ascii="Symbol" w:hAnsi="Symbol" w:hint="default"/>
      </w:rPr>
    </w:lvl>
    <w:lvl w:ilvl="7" w:tplc="065A1012" w:tentative="1">
      <w:start w:val="1"/>
      <w:numFmt w:val="bullet"/>
      <w:lvlText w:val="o"/>
      <w:lvlJc w:val="left"/>
      <w:pPr>
        <w:tabs>
          <w:tab w:val="num" w:pos="5940"/>
        </w:tabs>
        <w:ind w:left="5940" w:hanging="360"/>
      </w:pPr>
      <w:rPr>
        <w:rFonts w:ascii="Courier New" w:hAnsi="Courier New" w:cs="Courier New" w:hint="default"/>
      </w:rPr>
    </w:lvl>
    <w:lvl w:ilvl="8" w:tplc="D48C771E"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9" w15:restartNumberingAfterBreak="0">
    <w:nsid w:val="6C1B23D2"/>
    <w:multiLevelType w:val="hybridMultilevel"/>
    <w:tmpl w:val="DF50A9C0"/>
    <w:lvl w:ilvl="0" w:tplc="087864C6">
      <w:start w:val="1"/>
      <w:numFmt w:val="bullet"/>
      <w:lvlText w:val=""/>
      <w:lvlJc w:val="left"/>
      <w:pPr>
        <w:ind w:left="2480" w:hanging="360"/>
      </w:pPr>
      <w:rPr>
        <w:rFonts w:ascii="Wingdings" w:hAnsi="Wingdings" w:hint="default"/>
      </w:rPr>
    </w:lvl>
    <w:lvl w:ilvl="1" w:tplc="79620392" w:tentative="1">
      <w:start w:val="1"/>
      <w:numFmt w:val="bullet"/>
      <w:lvlText w:val="o"/>
      <w:lvlJc w:val="left"/>
      <w:pPr>
        <w:ind w:left="3200" w:hanging="360"/>
      </w:pPr>
      <w:rPr>
        <w:rFonts w:ascii="Courier New" w:hAnsi="Courier New" w:cs="Courier New" w:hint="default"/>
      </w:rPr>
    </w:lvl>
    <w:lvl w:ilvl="2" w:tplc="68AAA706" w:tentative="1">
      <w:start w:val="1"/>
      <w:numFmt w:val="bullet"/>
      <w:lvlText w:val=""/>
      <w:lvlJc w:val="left"/>
      <w:pPr>
        <w:ind w:left="3920" w:hanging="360"/>
      </w:pPr>
      <w:rPr>
        <w:rFonts w:ascii="Wingdings" w:hAnsi="Wingdings" w:hint="default"/>
      </w:rPr>
    </w:lvl>
    <w:lvl w:ilvl="3" w:tplc="0082CAC4" w:tentative="1">
      <w:start w:val="1"/>
      <w:numFmt w:val="bullet"/>
      <w:lvlText w:val=""/>
      <w:lvlJc w:val="left"/>
      <w:pPr>
        <w:ind w:left="4640" w:hanging="360"/>
      </w:pPr>
      <w:rPr>
        <w:rFonts w:ascii="Symbol" w:hAnsi="Symbol" w:hint="default"/>
      </w:rPr>
    </w:lvl>
    <w:lvl w:ilvl="4" w:tplc="4D9A6602" w:tentative="1">
      <w:start w:val="1"/>
      <w:numFmt w:val="bullet"/>
      <w:lvlText w:val="o"/>
      <w:lvlJc w:val="left"/>
      <w:pPr>
        <w:ind w:left="5360" w:hanging="360"/>
      </w:pPr>
      <w:rPr>
        <w:rFonts w:ascii="Courier New" w:hAnsi="Courier New" w:cs="Courier New" w:hint="default"/>
      </w:rPr>
    </w:lvl>
    <w:lvl w:ilvl="5" w:tplc="F3A6F1E6" w:tentative="1">
      <w:start w:val="1"/>
      <w:numFmt w:val="bullet"/>
      <w:lvlText w:val=""/>
      <w:lvlJc w:val="left"/>
      <w:pPr>
        <w:ind w:left="6080" w:hanging="360"/>
      </w:pPr>
      <w:rPr>
        <w:rFonts w:ascii="Wingdings" w:hAnsi="Wingdings" w:hint="default"/>
      </w:rPr>
    </w:lvl>
    <w:lvl w:ilvl="6" w:tplc="B9D22744" w:tentative="1">
      <w:start w:val="1"/>
      <w:numFmt w:val="bullet"/>
      <w:lvlText w:val=""/>
      <w:lvlJc w:val="left"/>
      <w:pPr>
        <w:ind w:left="6800" w:hanging="360"/>
      </w:pPr>
      <w:rPr>
        <w:rFonts w:ascii="Symbol" w:hAnsi="Symbol" w:hint="default"/>
      </w:rPr>
    </w:lvl>
    <w:lvl w:ilvl="7" w:tplc="E326EBB8" w:tentative="1">
      <w:start w:val="1"/>
      <w:numFmt w:val="bullet"/>
      <w:lvlText w:val="o"/>
      <w:lvlJc w:val="left"/>
      <w:pPr>
        <w:ind w:left="7520" w:hanging="360"/>
      </w:pPr>
      <w:rPr>
        <w:rFonts w:ascii="Courier New" w:hAnsi="Courier New" w:cs="Courier New" w:hint="default"/>
      </w:rPr>
    </w:lvl>
    <w:lvl w:ilvl="8" w:tplc="9B8CC6C4" w:tentative="1">
      <w:start w:val="1"/>
      <w:numFmt w:val="bullet"/>
      <w:lvlText w:val=""/>
      <w:lvlJc w:val="left"/>
      <w:pPr>
        <w:ind w:left="8240" w:hanging="360"/>
      </w:pPr>
      <w:rPr>
        <w:rFonts w:ascii="Wingdings" w:hAnsi="Wingdings" w:hint="default"/>
      </w:rPr>
    </w:lvl>
  </w:abstractNum>
  <w:abstractNum w:abstractNumId="20"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8003327">
    <w:abstractNumId w:val="9"/>
  </w:num>
  <w:num w:numId="2" w16cid:durableId="749734403">
    <w:abstractNumId w:val="6"/>
  </w:num>
  <w:num w:numId="3" w16cid:durableId="1674994032">
    <w:abstractNumId w:val="20"/>
  </w:num>
  <w:num w:numId="4" w16cid:durableId="1636787821">
    <w:abstractNumId w:val="17"/>
  </w:num>
  <w:num w:numId="5" w16cid:durableId="1719087462">
    <w:abstractNumId w:val="15"/>
  </w:num>
  <w:num w:numId="6" w16cid:durableId="136844237">
    <w:abstractNumId w:val="5"/>
  </w:num>
  <w:num w:numId="7" w16cid:durableId="224070008">
    <w:abstractNumId w:val="18"/>
  </w:num>
  <w:num w:numId="8" w16cid:durableId="643435364">
    <w:abstractNumId w:val="8"/>
  </w:num>
  <w:num w:numId="9" w16cid:durableId="591082857">
    <w:abstractNumId w:val="5"/>
  </w:num>
  <w:num w:numId="10" w16cid:durableId="966400125">
    <w:abstractNumId w:val="20"/>
  </w:num>
  <w:num w:numId="11" w16cid:durableId="1782141769">
    <w:abstractNumId w:val="8"/>
  </w:num>
  <w:num w:numId="12" w16cid:durableId="1465074961">
    <w:abstractNumId w:val="6"/>
  </w:num>
  <w:num w:numId="13" w16cid:durableId="2136408800">
    <w:abstractNumId w:val="7"/>
  </w:num>
  <w:num w:numId="14" w16cid:durableId="1651788789">
    <w:abstractNumId w:val="13"/>
  </w:num>
  <w:num w:numId="15" w16cid:durableId="163135131">
    <w:abstractNumId w:val="0"/>
  </w:num>
  <w:num w:numId="16" w16cid:durableId="1439518673">
    <w:abstractNumId w:val="2"/>
  </w:num>
  <w:num w:numId="17" w16cid:durableId="1903132126">
    <w:abstractNumId w:val="1"/>
  </w:num>
  <w:num w:numId="18" w16cid:durableId="12004007">
    <w:abstractNumId w:val="11"/>
  </w:num>
  <w:num w:numId="19" w16cid:durableId="1833056572">
    <w:abstractNumId w:val="16"/>
  </w:num>
  <w:num w:numId="20" w16cid:durableId="2068185431">
    <w:abstractNumId w:val="10"/>
  </w:num>
  <w:num w:numId="21" w16cid:durableId="613483915">
    <w:abstractNumId w:val="19"/>
  </w:num>
  <w:num w:numId="22" w16cid:durableId="1173764214">
    <w:abstractNumId w:val="14"/>
  </w:num>
  <w:num w:numId="23" w16cid:durableId="834105291">
    <w:abstractNumId w:val="3"/>
  </w:num>
  <w:num w:numId="24" w16cid:durableId="442652167">
    <w:abstractNumId w:val="4"/>
  </w:num>
  <w:num w:numId="25" w16cid:durableId="152759937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30"/>
    <w:rsid w:val="00004244"/>
    <w:rsid w:val="00034001"/>
    <w:rsid w:val="000506C2"/>
    <w:rsid w:val="00050AE0"/>
    <w:rsid w:val="00063F14"/>
    <w:rsid w:val="000725BE"/>
    <w:rsid w:val="00081CBA"/>
    <w:rsid w:val="0008455A"/>
    <w:rsid w:val="00085B87"/>
    <w:rsid w:val="000B744A"/>
    <w:rsid w:val="000C1D98"/>
    <w:rsid w:val="000C4199"/>
    <w:rsid w:val="000D64E3"/>
    <w:rsid w:val="000D7144"/>
    <w:rsid w:val="000E466F"/>
    <w:rsid w:val="000E5DBE"/>
    <w:rsid w:val="000F2127"/>
    <w:rsid w:val="000F3890"/>
    <w:rsid w:val="000F4C72"/>
    <w:rsid w:val="00106E7F"/>
    <w:rsid w:val="00140007"/>
    <w:rsid w:val="0014003E"/>
    <w:rsid w:val="00150FA6"/>
    <w:rsid w:val="00157C26"/>
    <w:rsid w:val="00171671"/>
    <w:rsid w:val="00174A71"/>
    <w:rsid w:val="00181188"/>
    <w:rsid w:val="00190E43"/>
    <w:rsid w:val="00195CAB"/>
    <w:rsid w:val="001A0962"/>
    <w:rsid w:val="001C290F"/>
    <w:rsid w:val="001C59B8"/>
    <w:rsid w:val="001D0EA8"/>
    <w:rsid w:val="001D4363"/>
    <w:rsid w:val="001F6E4A"/>
    <w:rsid w:val="002004EF"/>
    <w:rsid w:val="00207E54"/>
    <w:rsid w:val="00221975"/>
    <w:rsid w:val="00224614"/>
    <w:rsid w:val="00260856"/>
    <w:rsid w:val="00262DBF"/>
    <w:rsid w:val="002A2829"/>
    <w:rsid w:val="002A4CC8"/>
    <w:rsid w:val="002B3322"/>
    <w:rsid w:val="002B7A88"/>
    <w:rsid w:val="002C349D"/>
    <w:rsid w:val="002E43DD"/>
    <w:rsid w:val="00304590"/>
    <w:rsid w:val="003070E9"/>
    <w:rsid w:val="00310BFF"/>
    <w:rsid w:val="00324B8B"/>
    <w:rsid w:val="00326159"/>
    <w:rsid w:val="00333DC1"/>
    <w:rsid w:val="00337749"/>
    <w:rsid w:val="00345A39"/>
    <w:rsid w:val="00350E93"/>
    <w:rsid w:val="00357A40"/>
    <w:rsid w:val="00360265"/>
    <w:rsid w:val="00360317"/>
    <w:rsid w:val="003767B0"/>
    <w:rsid w:val="003875E8"/>
    <w:rsid w:val="0039256F"/>
    <w:rsid w:val="003A0518"/>
    <w:rsid w:val="003C3030"/>
    <w:rsid w:val="003F53C1"/>
    <w:rsid w:val="003F5414"/>
    <w:rsid w:val="0040179C"/>
    <w:rsid w:val="00410DF1"/>
    <w:rsid w:val="00414179"/>
    <w:rsid w:val="0042525C"/>
    <w:rsid w:val="004315DA"/>
    <w:rsid w:val="004338E9"/>
    <w:rsid w:val="0045213C"/>
    <w:rsid w:val="0046716C"/>
    <w:rsid w:val="00481477"/>
    <w:rsid w:val="00482458"/>
    <w:rsid w:val="00485F23"/>
    <w:rsid w:val="004924F9"/>
    <w:rsid w:val="004A2AE3"/>
    <w:rsid w:val="004A7260"/>
    <w:rsid w:val="004B13AA"/>
    <w:rsid w:val="004B3F88"/>
    <w:rsid w:val="004B6703"/>
    <w:rsid w:val="004B6DF5"/>
    <w:rsid w:val="004C3981"/>
    <w:rsid w:val="004D111B"/>
    <w:rsid w:val="004E28EA"/>
    <w:rsid w:val="004E2BE2"/>
    <w:rsid w:val="004E4781"/>
    <w:rsid w:val="004F369F"/>
    <w:rsid w:val="004F4070"/>
    <w:rsid w:val="004F5CFA"/>
    <w:rsid w:val="00501B6D"/>
    <w:rsid w:val="005034F8"/>
    <w:rsid w:val="00505585"/>
    <w:rsid w:val="00521435"/>
    <w:rsid w:val="00523C09"/>
    <w:rsid w:val="0053491F"/>
    <w:rsid w:val="00537992"/>
    <w:rsid w:val="00550A29"/>
    <w:rsid w:val="00553257"/>
    <w:rsid w:val="00554B4A"/>
    <w:rsid w:val="00557E0D"/>
    <w:rsid w:val="005700B8"/>
    <w:rsid w:val="00587C66"/>
    <w:rsid w:val="005940AE"/>
    <w:rsid w:val="005A2281"/>
    <w:rsid w:val="005A3810"/>
    <w:rsid w:val="005A6D18"/>
    <w:rsid w:val="005C555E"/>
    <w:rsid w:val="005C5643"/>
    <w:rsid w:val="005D2319"/>
    <w:rsid w:val="005D593E"/>
    <w:rsid w:val="005F58E9"/>
    <w:rsid w:val="00611F39"/>
    <w:rsid w:val="00614857"/>
    <w:rsid w:val="00632252"/>
    <w:rsid w:val="006429DB"/>
    <w:rsid w:val="00644020"/>
    <w:rsid w:val="00644D6C"/>
    <w:rsid w:val="00645F29"/>
    <w:rsid w:val="006501D0"/>
    <w:rsid w:val="00666104"/>
    <w:rsid w:val="006718C5"/>
    <w:rsid w:val="00673AB7"/>
    <w:rsid w:val="006760F8"/>
    <w:rsid w:val="0068316A"/>
    <w:rsid w:val="006A6DDD"/>
    <w:rsid w:val="006B44FF"/>
    <w:rsid w:val="006B4920"/>
    <w:rsid w:val="006B59E4"/>
    <w:rsid w:val="006C344A"/>
    <w:rsid w:val="006C740E"/>
    <w:rsid w:val="006D0F7A"/>
    <w:rsid w:val="006D20CD"/>
    <w:rsid w:val="006E0ED2"/>
    <w:rsid w:val="006E7DAB"/>
    <w:rsid w:val="006F4FF6"/>
    <w:rsid w:val="006F7B5F"/>
    <w:rsid w:val="00705D5D"/>
    <w:rsid w:val="00710526"/>
    <w:rsid w:val="00711D7B"/>
    <w:rsid w:val="0072009E"/>
    <w:rsid w:val="007251E7"/>
    <w:rsid w:val="00745F28"/>
    <w:rsid w:val="007478D5"/>
    <w:rsid w:val="00752189"/>
    <w:rsid w:val="00755428"/>
    <w:rsid w:val="0076380D"/>
    <w:rsid w:val="00766943"/>
    <w:rsid w:val="007772F7"/>
    <w:rsid w:val="0078013D"/>
    <w:rsid w:val="00784F58"/>
    <w:rsid w:val="00787F05"/>
    <w:rsid w:val="007A2B62"/>
    <w:rsid w:val="007A7E30"/>
    <w:rsid w:val="007B0A40"/>
    <w:rsid w:val="007B78D0"/>
    <w:rsid w:val="007C05D0"/>
    <w:rsid w:val="007C5C7D"/>
    <w:rsid w:val="007C5DE1"/>
    <w:rsid w:val="007C6C37"/>
    <w:rsid w:val="007C6F14"/>
    <w:rsid w:val="007C73B5"/>
    <w:rsid w:val="007E434B"/>
    <w:rsid w:val="007F5616"/>
    <w:rsid w:val="00804F12"/>
    <w:rsid w:val="00831661"/>
    <w:rsid w:val="00833476"/>
    <w:rsid w:val="00834AD0"/>
    <w:rsid w:val="00861C31"/>
    <w:rsid w:val="00864345"/>
    <w:rsid w:val="0087531E"/>
    <w:rsid w:val="008843F0"/>
    <w:rsid w:val="008957B0"/>
    <w:rsid w:val="008A1A57"/>
    <w:rsid w:val="008B7DF7"/>
    <w:rsid w:val="008D1D8D"/>
    <w:rsid w:val="008E4D2E"/>
    <w:rsid w:val="008F2773"/>
    <w:rsid w:val="0090736E"/>
    <w:rsid w:val="00931EFA"/>
    <w:rsid w:val="00932627"/>
    <w:rsid w:val="0093284D"/>
    <w:rsid w:val="0093369F"/>
    <w:rsid w:val="00944563"/>
    <w:rsid w:val="0094650D"/>
    <w:rsid w:val="0094703B"/>
    <w:rsid w:val="00950C24"/>
    <w:rsid w:val="0095258F"/>
    <w:rsid w:val="00956262"/>
    <w:rsid w:val="0098513E"/>
    <w:rsid w:val="009A5F86"/>
    <w:rsid w:val="009A7518"/>
    <w:rsid w:val="009B5018"/>
    <w:rsid w:val="009C41BA"/>
    <w:rsid w:val="009E3377"/>
    <w:rsid w:val="00A07302"/>
    <w:rsid w:val="00A14DE3"/>
    <w:rsid w:val="00A23A27"/>
    <w:rsid w:val="00A30373"/>
    <w:rsid w:val="00A32156"/>
    <w:rsid w:val="00A5210B"/>
    <w:rsid w:val="00A673C2"/>
    <w:rsid w:val="00A7103A"/>
    <w:rsid w:val="00A83640"/>
    <w:rsid w:val="00A877DA"/>
    <w:rsid w:val="00A96C1F"/>
    <w:rsid w:val="00AA1CCE"/>
    <w:rsid w:val="00AA4AA6"/>
    <w:rsid w:val="00AB245A"/>
    <w:rsid w:val="00AB394A"/>
    <w:rsid w:val="00AC3539"/>
    <w:rsid w:val="00AF6D24"/>
    <w:rsid w:val="00AF7711"/>
    <w:rsid w:val="00B26F46"/>
    <w:rsid w:val="00B5303D"/>
    <w:rsid w:val="00B56069"/>
    <w:rsid w:val="00B56965"/>
    <w:rsid w:val="00B651B9"/>
    <w:rsid w:val="00B70511"/>
    <w:rsid w:val="00B73A6F"/>
    <w:rsid w:val="00B73CAC"/>
    <w:rsid w:val="00B7602E"/>
    <w:rsid w:val="00B80C45"/>
    <w:rsid w:val="00B93930"/>
    <w:rsid w:val="00BA04FC"/>
    <w:rsid w:val="00BB20A0"/>
    <w:rsid w:val="00BB23B3"/>
    <w:rsid w:val="00BB74F2"/>
    <w:rsid w:val="00BD29D5"/>
    <w:rsid w:val="00BD6316"/>
    <w:rsid w:val="00BD7454"/>
    <w:rsid w:val="00BE45D8"/>
    <w:rsid w:val="00BE6E69"/>
    <w:rsid w:val="00C02123"/>
    <w:rsid w:val="00C108B2"/>
    <w:rsid w:val="00C15D39"/>
    <w:rsid w:val="00C33F91"/>
    <w:rsid w:val="00C40AF3"/>
    <w:rsid w:val="00C45154"/>
    <w:rsid w:val="00C54D13"/>
    <w:rsid w:val="00C600EA"/>
    <w:rsid w:val="00C71E1B"/>
    <w:rsid w:val="00C766C9"/>
    <w:rsid w:val="00C90379"/>
    <w:rsid w:val="00CC52F5"/>
    <w:rsid w:val="00CD2E9A"/>
    <w:rsid w:val="00CD5CD3"/>
    <w:rsid w:val="00CF19FD"/>
    <w:rsid w:val="00D129D6"/>
    <w:rsid w:val="00D13413"/>
    <w:rsid w:val="00D16F04"/>
    <w:rsid w:val="00D17D2E"/>
    <w:rsid w:val="00D23213"/>
    <w:rsid w:val="00D237FB"/>
    <w:rsid w:val="00D4188C"/>
    <w:rsid w:val="00D42AE5"/>
    <w:rsid w:val="00D43DB7"/>
    <w:rsid w:val="00D45B51"/>
    <w:rsid w:val="00D77D54"/>
    <w:rsid w:val="00D82859"/>
    <w:rsid w:val="00D83F94"/>
    <w:rsid w:val="00D910FD"/>
    <w:rsid w:val="00DA15FC"/>
    <w:rsid w:val="00DA28A6"/>
    <w:rsid w:val="00DB0D04"/>
    <w:rsid w:val="00DB161E"/>
    <w:rsid w:val="00DC5092"/>
    <w:rsid w:val="00DD6688"/>
    <w:rsid w:val="00DE3593"/>
    <w:rsid w:val="00DF480A"/>
    <w:rsid w:val="00E04EB3"/>
    <w:rsid w:val="00E05D7C"/>
    <w:rsid w:val="00E07E51"/>
    <w:rsid w:val="00E15C13"/>
    <w:rsid w:val="00E22563"/>
    <w:rsid w:val="00E24FCF"/>
    <w:rsid w:val="00E65CA3"/>
    <w:rsid w:val="00E7210A"/>
    <w:rsid w:val="00E80AC1"/>
    <w:rsid w:val="00E83983"/>
    <w:rsid w:val="00EA30B7"/>
    <w:rsid w:val="00EA3349"/>
    <w:rsid w:val="00EB395E"/>
    <w:rsid w:val="00EB7852"/>
    <w:rsid w:val="00EC4585"/>
    <w:rsid w:val="00ED0FF6"/>
    <w:rsid w:val="00ED27E0"/>
    <w:rsid w:val="00EF5743"/>
    <w:rsid w:val="00F073B1"/>
    <w:rsid w:val="00F11756"/>
    <w:rsid w:val="00F32397"/>
    <w:rsid w:val="00F33CAF"/>
    <w:rsid w:val="00F372EB"/>
    <w:rsid w:val="00F53677"/>
    <w:rsid w:val="00F675EA"/>
    <w:rsid w:val="00F74598"/>
    <w:rsid w:val="00F85901"/>
    <w:rsid w:val="00FA0AA1"/>
    <w:rsid w:val="00FA3F85"/>
    <w:rsid w:val="00FA47E1"/>
    <w:rsid w:val="00FB2CEA"/>
    <w:rsid w:val="00FC45A9"/>
    <w:rsid w:val="00FC5497"/>
    <w:rsid w:val="00FC7B98"/>
    <w:rsid w:val="00FD6AC2"/>
    <w:rsid w:val="00FE39A1"/>
    <w:rsid w:val="00FE41DA"/>
    <w:rsid w:val="00FE444D"/>
    <w:rsid w:val="00FE5001"/>
    <w:rsid w:val="00FF066A"/>
    <w:rsid w:val="00FF32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51C31"/>
  <w15:docId w15:val="{42F44536-4898-4D1E-8175-FBC0C69B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5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basedOn w:val="Normal"/>
    <w:uiPriority w:val="34"/>
    <w:qFormat/>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iPriority w:val="99"/>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semiHidden/>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semiHidden/>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3"/>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13"/>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character" w:customStyle="1" w:styleId="normaltextrun">
    <w:name w:val="normaltextrun"/>
    <w:basedOn w:val="DefaultParagraphFont"/>
    <w:rsid w:val="00E04EB3"/>
  </w:style>
  <w:style w:type="paragraph" w:styleId="NormalWeb">
    <w:name w:val="Normal (Web)"/>
    <w:basedOn w:val="Normal"/>
    <w:uiPriority w:val="99"/>
    <w:rsid w:val="00F073B1"/>
    <w:pPr>
      <w:spacing w:before="100" w:beforeAutospacing="1" w:after="100" w:afterAutospacing="1" w:line="319" w:lineRule="atLeast"/>
    </w:pPr>
    <w:rPr>
      <w:rFonts w:ascii="Arial" w:eastAsia="Arial Unicode MS" w:hAnsi="Arial" w:cs="Arial"/>
      <w:color w:val="333333"/>
      <w:sz w:val="18"/>
      <w:szCs w:val="18"/>
      <w:lang w:eastAsia="en-US"/>
    </w:rPr>
  </w:style>
  <w:style w:type="table" w:styleId="PlainTable2">
    <w:name w:val="Plain Table 2"/>
    <w:basedOn w:val="TableNormal"/>
    <w:uiPriority w:val="42"/>
    <w:rsid w:val="00F073B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6C7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894119323">
      <w:bodyDiv w:val="1"/>
      <w:marLeft w:val="0"/>
      <w:marRight w:val="0"/>
      <w:marTop w:val="0"/>
      <w:marBottom w:val="0"/>
      <w:divBdr>
        <w:top w:val="none" w:sz="0" w:space="0" w:color="auto"/>
        <w:left w:val="none" w:sz="0" w:space="0" w:color="auto"/>
        <w:bottom w:val="none" w:sz="0" w:space="0" w:color="auto"/>
        <w:right w:val="none" w:sz="0" w:space="0" w:color="auto"/>
      </w:divBdr>
    </w:div>
    <w:div w:id="18417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tend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ontracts-find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nlcommunityfund.org.uk?subject=Supplier%20Guide%20on%20Supplier%20Zone" TargetMode="External"/><Relationship Id="rId5" Type="http://schemas.openxmlformats.org/officeDocument/2006/relationships/numbering" Target="numbering.xml"/><Relationship Id="rId15" Type="http://schemas.openxmlformats.org/officeDocument/2006/relationships/hyperlink" Target="https://www.gov.uk/government/publications/social-value-act-information-and-resources/social-value-act-information-and-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5/102/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6ED616B4B159498A4F82976816A036" ma:contentTypeVersion="14" ma:contentTypeDescription="Create a new document." ma:contentTypeScope="" ma:versionID="fbadc982f5d9f42869fba8a74a37e4ab">
  <xsd:schema xmlns:xsd="http://www.w3.org/2001/XMLSchema" xmlns:xs="http://www.w3.org/2001/XMLSchema" xmlns:p="http://schemas.microsoft.com/office/2006/metadata/properties" xmlns:ns2="0a5dbe37-d306-455d-af04-225a79d8c975" xmlns:ns3="98741840-d50b-4ce8-bf83-2c624c55dcb1" xmlns:ns4="c7e24bc2-729e-4054-8454-d4d5db5a28c3" targetNamespace="http://schemas.microsoft.com/office/2006/metadata/properties" ma:root="true" ma:fieldsID="36e61cb0ba9a72f6279ed033099f620e" ns2:_="" ns3:_="" ns4:_="">
    <xsd:import namespace="0a5dbe37-d306-455d-af04-225a79d8c975"/>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dbe37-d306-455d-af04-225a79d8c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307a383-a4c9-4870-a754-0a41651568ff}"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0a5dbe37-d306-455d-af04-225a79d8c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customXml/itemProps2.xml><?xml version="1.0" encoding="utf-8"?>
<ds:datastoreItem xmlns:ds="http://schemas.openxmlformats.org/officeDocument/2006/customXml" ds:itemID="{A8008232-B0A7-415D-86EE-879B5AC20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dbe37-d306-455d-af04-225a79d8c975"/>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80F2F-6381-4DFE-BBF9-2959B0B2A01E}">
  <ds:schemaRefs>
    <ds:schemaRef ds:uri="http://schemas.microsoft.com/sharepoint/v3/contenttype/forms"/>
  </ds:schemaRefs>
</ds:datastoreItem>
</file>

<file path=customXml/itemProps4.xml><?xml version="1.0" encoding="utf-8"?>
<ds:datastoreItem xmlns:ds="http://schemas.openxmlformats.org/officeDocument/2006/customXml" ds:itemID="{D50912B5-40AD-4F11-AE4D-9B3A0D4AA73E}">
  <ds:schemaRefs>
    <ds:schemaRef ds:uri="http://schemas.microsoft.com/office/2006/metadata/properties"/>
    <ds:schemaRef ds:uri="http://schemas.microsoft.com/office/infopath/2007/PartnerControls"/>
    <ds:schemaRef ds:uri="c7e24bc2-729e-4054-8454-d4d5db5a28c3"/>
    <ds:schemaRef ds:uri="0a5dbe37-d306-455d-af04-225a79d8c97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983</Words>
  <Characters>5608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Adekoya, Ibi</dc:creator>
  <cp:keywords/>
  <dc:description/>
  <cp:lastModifiedBy>Nicolas Hogg</cp:lastModifiedBy>
  <cp:revision>2</cp:revision>
  <cp:lastPrinted>2017-04-11T14:29:00Z</cp:lastPrinted>
  <dcterms:created xsi:type="dcterms:W3CDTF">2023-02-09T11:33:00Z</dcterms:created>
  <dcterms:modified xsi:type="dcterms:W3CDTF">2023-02-09T11:33:00Z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0x010100816ED616B4B159498A4F82976816A036</vt:lpwstr>
  </property>
</Properties>
</file>