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E81" w:rsidRDefault="00703E81" w:rsidP="00BB728D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</w:p>
    <w:p w:rsidR="00BB728D" w:rsidRDefault="007F03A8" w:rsidP="00BB728D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THE </w:t>
      </w:r>
      <w:r w:rsidR="002365A7">
        <w:rPr>
          <w:rFonts w:ascii="Calibri" w:eastAsia="Calibri" w:hAnsi="Calibri" w:cs="Times New Roman"/>
          <w:b/>
          <w:sz w:val="28"/>
          <w:szCs w:val="28"/>
        </w:rPr>
        <w:t xml:space="preserve">NATIONAL LOTTERY COMMUNITY FUND </w:t>
      </w:r>
      <w:r w:rsidR="00221D22">
        <w:rPr>
          <w:rFonts w:ascii="Calibri" w:eastAsia="Calibri" w:hAnsi="Calibri" w:cs="Times New Roman"/>
          <w:b/>
          <w:sz w:val="28"/>
          <w:szCs w:val="28"/>
        </w:rPr>
        <w:t xml:space="preserve">STATE AID SCHEME </w:t>
      </w:r>
    </w:p>
    <w:p w:rsidR="008A6396" w:rsidRPr="00BB728D" w:rsidRDefault="008A6396" w:rsidP="00BB728D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B728D" w:rsidRPr="00BB728D" w:rsidRDefault="00BB728D" w:rsidP="00BB728D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BB728D" w:rsidRPr="00BB728D" w:rsidRDefault="00BB728D" w:rsidP="00BB728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B728D">
        <w:rPr>
          <w:rFonts w:ascii="Arial" w:eastAsia="Calibri" w:hAnsi="Arial" w:cs="Arial"/>
          <w:b/>
          <w:sz w:val="24"/>
          <w:szCs w:val="24"/>
        </w:rPr>
        <w:t>Background</w:t>
      </w:r>
    </w:p>
    <w:p w:rsidR="00BB728D" w:rsidRPr="00BB728D" w:rsidRDefault="00BB728D" w:rsidP="00BB72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C6056" w:rsidRDefault="009E3267" w:rsidP="00616B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</w:t>
      </w:r>
      <w:r w:rsidR="002365A7">
        <w:rPr>
          <w:rFonts w:ascii="Arial" w:eastAsia="Calibri" w:hAnsi="Arial" w:cs="Arial"/>
          <w:sz w:val="24"/>
          <w:szCs w:val="24"/>
        </w:rPr>
        <w:t xml:space="preserve">National Lottery Community Fund </w:t>
      </w:r>
      <w:r>
        <w:rPr>
          <w:rFonts w:ascii="Arial" w:eastAsia="Calibri" w:hAnsi="Arial" w:cs="Arial"/>
          <w:sz w:val="24"/>
          <w:szCs w:val="24"/>
        </w:rPr>
        <w:t>has the power to award grants under section 36(b) of the National Lottery Act 2006.</w:t>
      </w:r>
    </w:p>
    <w:p w:rsidR="009C6056" w:rsidRDefault="009C6056" w:rsidP="00616B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21D22" w:rsidRDefault="009C6056" w:rsidP="00616B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This Scheme has been set up to enable </w:t>
      </w:r>
      <w:r w:rsidR="009E3267">
        <w:rPr>
          <w:rFonts w:ascii="Arial" w:eastAsia="Calibri" w:hAnsi="Arial" w:cs="Arial"/>
          <w:sz w:val="24"/>
          <w:szCs w:val="24"/>
        </w:rPr>
        <w:t xml:space="preserve">the </w:t>
      </w:r>
      <w:r w:rsidR="002365A7">
        <w:rPr>
          <w:rFonts w:ascii="Arial" w:eastAsia="Calibri" w:hAnsi="Arial" w:cs="Arial"/>
          <w:sz w:val="24"/>
          <w:szCs w:val="24"/>
        </w:rPr>
        <w:t xml:space="preserve">National Lottery Community Fund </w:t>
      </w:r>
      <w:r>
        <w:rPr>
          <w:rFonts w:ascii="Arial" w:eastAsia="Calibri" w:hAnsi="Arial" w:cs="Arial"/>
          <w:sz w:val="24"/>
          <w:szCs w:val="24"/>
        </w:rPr>
        <w:t>to make awards of State aid</w:t>
      </w:r>
      <w:r w:rsidR="00221D22">
        <w:rPr>
          <w:rFonts w:ascii="Arial" w:eastAsia="Calibri" w:hAnsi="Arial" w:cs="Arial"/>
          <w:sz w:val="24"/>
          <w:szCs w:val="24"/>
        </w:rPr>
        <w:t>:</w:t>
      </w:r>
    </w:p>
    <w:p w:rsidR="00221D22" w:rsidRDefault="00221D22" w:rsidP="00616B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C6056" w:rsidRDefault="009C6056" w:rsidP="00221D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21D22">
        <w:rPr>
          <w:rFonts w:ascii="Arial" w:eastAsia="Calibri" w:hAnsi="Arial" w:cs="Arial"/>
          <w:sz w:val="24"/>
          <w:szCs w:val="24"/>
        </w:rPr>
        <w:t>with</w:t>
      </w:r>
      <w:r w:rsidR="00221D22" w:rsidRPr="00221D22">
        <w:rPr>
          <w:rFonts w:ascii="Arial" w:eastAsia="Calibri" w:hAnsi="Arial" w:cs="Arial"/>
          <w:sz w:val="24"/>
          <w:szCs w:val="24"/>
        </w:rPr>
        <w:t>in</w:t>
      </w:r>
      <w:r w:rsidRPr="00221D22">
        <w:rPr>
          <w:rFonts w:ascii="Arial" w:eastAsia="Calibri" w:hAnsi="Arial" w:cs="Arial"/>
          <w:sz w:val="24"/>
          <w:szCs w:val="24"/>
        </w:rPr>
        <w:t xml:space="preserve"> the relevant Chapter III exemptions</w:t>
      </w:r>
      <w:r w:rsidR="006F1F5D" w:rsidRPr="00221D22">
        <w:rPr>
          <w:rFonts w:ascii="Arial" w:eastAsia="Calibri" w:hAnsi="Arial" w:cs="Arial"/>
          <w:sz w:val="24"/>
          <w:szCs w:val="24"/>
        </w:rPr>
        <w:t xml:space="preserve"> contained with</w:t>
      </w:r>
      <w:r w:rsidRPr="00221D22">
        <w:rPr>
          <w:rFonts w:ascii="Arial" w:eastAsia="Calibri" w:hAnsi="Arial" w:cs="Arial"/>
          <w:sz w:val="24"/>
          <w:szCs w:val="24"/>
        </w:rPr>
        <w:t>in the General Block Exemption Regulations 651/2014</w:t>
      </w:r>
      <w:r w:rsidR="006F1F5D" w:rsidRPr="00221D22">
        <w:rPr>
          <w:rFonts w:ascii="Arial" w:eastAsia="Calibri" w:hAnsi="Arial" w:cs="Arial"/>
          <w:sz w:val="24"/>
          <w:szCs w:val="24"/>
        </w:rPr>
        <w:t xml:space="preserve"> </w:t>
      </w:r>
      <w:r w:rsidR="00221D22" w:rsidRPr="00221D22">
        <w:rPr>
          <w:rFonts w:ascii="Arial" w:eastAsia="Calibri" w:hAnsi="Arial" w:cs="Arial"/>
          <w:sz w:val="24"/>
          <w:szCs w:val="24"/>
        </w:rPr>
        <w:t>listed</w:t>
      </w:r>
      <w:r w:rsidR="006D0F02">
        <w:rPr>
          <w:rFonts w:ascii="Arial" w:eastAsia="Calibri" w:hAnsi="Arial" w:cs="Arial"/>
          <w:sz w:val="24"/>
          <w:szCs w:val="24"/>
        </w:rPr>
        <w:t xml:space="preserve"> below</w:t>
      </w:r>
      <w:r w:rsidR="00221D22" w:rsidRPr="00221D22">
        <w:rPr>
          <w:rFonts w:ascii="Arial" w:eastAsia="Calibri" w:hAnsi="Arial" w:cs="Arial"/>
          <w:sz w:val="24"/>
          <w:szCs w:val="24"/>
        </w:rPr>
        <w:t>;</w:t>
      </w:r>
    </w:p>
    <w:p w:rsidR="00FB5D62" w:rsidRPr="00221D22" w:rsidRDefault="00FB5D62" w:rsidP="00FB5D62">
      <w:pPr>
        <w:pStyle w:val="ListParagraph"/>
        <w:spacing w:after="0" w:line="240" w:lineRule="auto"/>
        <w:ind w:left="768"/>
        <w:jc w:val="both"/>
        <w:rPr>
          <w:rFonts w:ascii="Arial" w:eastAsia="Calibri" w:hAnsi="Arial" w:cs="Arial"/>
          <w:sz w:val="24"/>
          <w:szCs w:val="24"/>
        </w:rPr>
      </w:pPr>
    </w:p>
    <w:p w:rsidR="00221D22" w:rsidRDefault="00221D22" w:rsidP="00221D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under Article 42 of Commission Regulation 1388/2014; and</w:t>
      </w:r>
    </w:p>
    <w:p w:rsidR="00FB5D62" w:rsidRPr="00FB5D62" w:rsidRDefault="00FB5D62" w:rsidP="00FB5D6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D0F02" w:rsidRDefault="00221D22" w:rsidP="00221D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under Article 95 of Commission Regulation </w:t>
      </w:r>
      <w:r w:rsidR="006D0F02">
        <w:rPr>
          <w:rFonts w:ascii="Arial" w:eastAsia="Calibri" w:hAnsi="Arial" w:cs="Arial"/>
          <w:sz w:val="24"/>
          <w:szCs w:val="24"/>
        </w:rPr>
        <w:t xml:space="preserve">508/2014 </w:t>
      </w:r>
    </w:p>
    <w:p w:rsidR="006D0F02" w:rsidRDefault="006D0F02" w:rsidP="006D0F02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221D22" w:rsidRPr="006D0F02" w:rsidRDefault="006D0F02" w:rsidP="006D0F02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</w:t>
      </w:r>
      <w:r w:rsidRPr="006D0F02">
        <w:rPr>
          <w:rFonts w:ascii="Arial" w:eastAsia="Calibri" w:hAnsi="Arial" w:cs="Arial"/>
          <w:sz w:val="24"/>
          <w:szCs w:val="24"/>
        </w:rPr>
        <w:t>ogether the "</w:t>
      </w:r>
      <w:r>
        <w:rPr>
          <w:rFonts w:ascii="Arial" w:eastAsia="Calibri" w:hAnsi="Arial" w:cs="Arial"/>
          <w:sz w:val="24"/>
          <w:szCs w:val="24"/>
        </w:rPr>
        <w:t>relevant State Aid regulations" and each a "relevant State Aid regulation".</w:t>
      </w:r>
    </w:p>
    <w:p w:rsidR="009C6056" w:rsidRDefault="009C6056" w:rsidP="00616B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F1F5D" w:rsidRDefault="006F1F5D" w:rsidP="00616B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figures listed are indicative only and do not necessarily reflect an available budget. </w:t>
      </w:r>
    </w:p>
    <w:p w:rsidR="006F1F5D" w:rsidRDefault="006F1F5D" w:rsidP="00616B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73778" w:rsidRPr="00573778" w:rsidRDefault="00573778" w:rsidP="00BB728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73778">
        <w:rPr>
          <w:rStyle w:val="Hyperlink"/>
          <w:rFonts w:ascii="Arial" w:eastAsia="Calibri" w:hAnsi="Arial" w:cs="Arial"/>
          <w:b/>
          <w:color w:val="auto"/>
          <w:sz w:val="24"/>
          <w:szCs w:val="24"/>
        </w:rPr>
        <w:t>General Conditions</w:t>
      </w:r>
    </w:p>
    <w:p w:rsidR="00BB728D" w:rsidRDefault="00BB728D" w:rsidP="00BB72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73778" w:rsidRPr="003C3C32" w:rsidRDefault="00573778" w:rsidP="0057377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Title</w:t>
      </w:r>
    </w:p>
    <w:p w:rsidR="003C3C32" w:rsidRPr="009E3267" w:rsidRDefault="003C3C32" w:rsidP="003C3C32">
      <w:pPr>
        <w:pStyle w:val="ListParagraph"/>
        <w:spacing w:before="240" w:after="0" w:line="240" w:lineRule="auto"/>
        <w:rPr>
          <w:rFonts w:ascii="Arial" w:eastAsia="Calibri" w:hAnsi="Arial" w:cs="Arial"/>
          <w:sz w:val="24"/>
          <w:szCs w:val="24"/>
        </w:rPr>
      </w:pPr>
    </w:p>
    <w:p w:rsidR="003C3C32" w:rsidRPr="009E3267" w:rsidRDefault="009E3267" w:rsidP="00273E79">
      <w:pPr>
        <w:pStyle w:val="ListParagraph"/>
        <w:spacing w:line="240" w:lineRule="auto"/>
        <w:rPr>
          <w:rFonts w:ascii="Arial" w:eastAsia="Calibri" w:hAnsi="Arial" w:cs="Arial"/>
          <w:sz w:val="24"/>
          <w:szCs w:val="24"/>
        </w:rPr>
      </w:pPr>
      <w:r w:rsidRPr="009E3267">
        <w:rPr>
          <w:rFonts w:ascii="Arial" w:eastAsia="Calibri" w:hAnsi="Arial" w:cs="Arial"/>
          <w:sz w:val="24"/>
          <w:szCs w:val="24"/>
        </w:rPr>
        <w:t xml:space="preserve">The </w:t>
      </w:r>
      <w:r w:rsidR="002365A7">
        <w:rPr>
          <w:rFonts w:ascii="Arial" w:eastAsia="Calibri" w:hAnsi="Arial" w:cs="Arial"/>
          <w:sz w:val="24"/>
          <w:szCs w:val="24"/>
        </w:rPr>
        <w:t xml:space="preserve">National Lottery Community Fund </w:t>
      </w:r>
      <w:r w:rsidR="006D0F02">
        <w:rPr>
          <w:rFonts w:ascii="Arial" w:eastAsia="Calibri" w:hAnsi="Arial" w:cs="Arial"/>
          <w:sz w:val="24"/>
          <w:szCs w:val="24"/>
        </w:rPr>
        <w:t>State Aid</w:t>
      </w:r>
      <w:r w:rsidRPr="009E3267">
        <w:rPr>
          <w:rFonts w:ascii="Arial" w:eastAsia="Calibri" w:hAnsi="Arial" w:cs="Arial"/>
          <w:sz w:val="24"/>
          <w:szCs w:val="24"/>
        </w:rPr>
        <w:t xml:space="preserve"> Scheme</w:t>
      </w:r>
      <w:r w:rsidR="006F1F5D" w:rsidRPr="009E3267">
        <w:rPr>
          <w:rFonts w:ascii="Arial" w:eastAsia="Calibri" w:hAnsi="Arial" w:cs="Arial"/>
          <w:sz w:val="24"/>
          <w:szCs w:val="24"/>
        </w:rPr>
        <w:t xml:space="preserve"> </w:t>
      </w:r>
      <w:r w:rsidR="003C3C32" w:rsidRPr="009E3267">
        <w:rPr>
          <w:rFonts w:ascii="Arial" w:eastAsia="Calibri" w:hAnsi="Arial" w:cs="Arial"/>
          <w:sz w:val="24"/>
          <w:szCs w:val="24"/>
        </w:rPr>
        <w:t xml:space="preserve">(the </w:t>
      </w:r>
      <w:r w:rsidR="003C3C32" w:rsidRPr="009E3267">
        <w:rPr>
          <w:rFonts w:ascii="Arial" w:eastAsia="Calibri" w:hAnsi="Arial" w:cs="Arial"/>
          <w:b/>
          <w:sz w:val="24"/>
          <w:szCs w:val="24"/>
        </w:rPr>
        <w:t>Scheme</w:t>
      </w:r>
      <w:r w:rsidR="003C3C32" w:rsidRPr="009E3267">
        <w:rPr>
          <w:rFonts w:ascii="Arial" w:eastAsia="Calibri" w:hAnsi="Arial" w:cs="Arial"/>
          <w:sz w:val="24"/>
          <w:szCs w:val="24"/>
        </w:rPr>
        <w:t>)</w:t>
      </w:r>
    </w:p>
    <w:p w:rsidR="00273E79" w:rsidRPr="009E3267" w:rsidRDefault="00273E79" w:rsidP="00273E79">
      <w:pPr>
        <w:pStyle w:val="ListParagraph"/>
        <w:spacing w:before="240" w:after="0" w:line="240" w:lineRule="auto"/>
        <w:rPr>
          <w:rFonts w:ascii="Arial" w:eastAsia="Calibri" w:hAnsi="Arial" w:cs="Arial"/>
          <w:sz w:val="24"/>
          <w:szCs w:val="24"/>
        </w:rPr>
      </w:pPr>
    </w:p>
    <w:p w:rsidR="003C3C32" w:rsidRPr="009E3267" w:rsidRDefault="00273E79" w:rsidP="00273E79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" w:eastAsia="Calibri" w:hAnsi="Arial" w:cs="Arial"/>
          <w:sz w:val="24"/>
          <w:szCs w:val="24"/>
        </w:rPr>
      </w:pPr>
      <w:r w:rsidRPr="009E3267">
        <w:rPr>
          <w:rFonts w:ascii="Arial" w:eastAsia="Calibri" w:hAnsi="Arial" w:cs="Arial"/>
          <w:b/>
          <w:sz w:val="24"/>
          <w:szCs w:val="24"/>
          <w:u w:val="single"/>
        </w:rPr>
        <w:t>Member State</w:t>
      </w:r>
    </w:p>
    <w:p w:rsidR="00273E79" w:rsidRPr="009E3267" w:rsidRDefault="00273E79" w:rsidP="00273E79">
      <w:pPr>
        <w:pStyle w:val="ListParagraph"/>
        <w:spacing w:before="240"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6A6118" w:rsidRPr="009E3267" w:rsidRDefault="006A6118" w:rsidP="00273E79">
      <w:pPr>
        <w:pStyle w:val="ListParagraph"/>
        <w:spacing w:before="240" w:after="0" w:line="240" w:lineRule="auto"/>
        <w:rPr>
          <w:rFonts w:ascii="Arial" w:eastAsia="Calibri" w:hAnsi="Arial" w:cs="Arial"/>
          <w:sz w:val="24"/>
          <w:szCs w:val="24"/>
        </w:rPr>
      </w:pPr>
      <w:r w:rsidRPr="009E3267">
        <w:rPr>
          <w:rFonts w:ascii="Arial" w:eastAsia="Calibri" w:hAnsi="Arial" w:cs="Arial"/>
          <w:sz w:val="24"/>
          <w:szCs w:val="24"/>
        </w:rPr>
        <w:t>United Kingdom</w:t>
      </w:r>
    </w:p>
    <w:p w:rsidR="006A6118" w:rsidRPr="009E3267" w:rsidRDefault="006A6118" w:rsidP="00273E79">
      <w:pPr>
        <w:pStyle w:val="ListParagraph"/>
        <w:spacing w:before="240" w:after="0" w:line="240" w:lineRule="auto"/>
        <w:rPr>
          <w:rFonts w:ascii="Arial" w:eastAsia="Calibri" w:hAnsi="Arial" w:cs="Arial"/>
          <w:sz w:val="24"/>
          <w:szCs w:val="24"/>
        </w:rPr>
      </w:pPr>
    </w:p>
    <w:p w:rsidR="00273E79" w:rsidRPr="009E3267" w:rsidRDefault="00273E79" w:rsidP="00273E79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" w:eastAsia="Calibri" w:hAnsi="Arial" w:cs="Arial"/>
          <w:sz w:val="24"/>
          <w:szCs w:val="24"/>
        </w:rPr>
      </w:pPr>
      <w:r w:rsidRPr="009E3267">
        <w:rPr>
          <w:rFonts w:ascii="Arial" w:eastAsia="Calibri" w:hAnsi="Arial" w:cs="Arial"/>
          <w:b/>
          <w:sz w:val="24"/>
          <w:szCs w:val="24"/>
          <w:u w:val="single"/>
        </w:rPr>
        <w:t>Regions</w:t>
      </w:r>
    </w:p>
    <w:p w:rsidR="00273E79" w:rsidRPr="009E3267" w:rsidRDefault="00273E79" w:rsidP="00273E79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:rsidR="009E3267" w:rsidRPr="009E3267" w:rsidRDefault="009E3267" w:rsidP="00273E79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9E3267">
        <w:rPr>
          <w:rFonts w:ascii="Arial" w:eastAsia="Calibri" w:hAnsi="Arial" w:cs="Arial"/>
          <w:sz w:val="24"/>
          <w:szCs w:val="24"/>
        </w:rPr>
        <w:t>England and Wales</w:t>
      </w:r>
    </w:p>
    <w:p w:rsidR="00273E79" w:rsidRPr="009E3267" w:rsidRDefault="00273E79" w:rsidP="00273E79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:rsidR="00273E79" w:rsidRPr="009E3267" w:rsidRDefault="00273E79" w:rsidP="00273E7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9E3267">
        <w:rPr>
          <w:rFonts w:ascii="Arial" w:eastAsia="Calibri" w:hAnsi="Arial" w:cs="Arial"/>
          <w:b/>
          <w:sz w:val="24"/>
          <w:szCs w:val="24"/>
          <w:u w:val="single"/>
        </w:rPr>
        <w:t>Granting Authority</w:t>
      </w:r>
    </w:p>
    <w:p w:rsidR="00273E79" w:rsidRPr="009E3267" w:rsidRDefault="00273E79" w:rsidP="00BB72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E3267" w:rsidRPr="009E3267" w:rsidRDefault="009E3267" w:rsidP="009E3267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en"/>
        </w:rPr>
      </w:pPr>
      <w:r w:rsidRPr="009E3267">
        <w:rPr>
          <w:rFonts w:ascii="Arial" w:hAnsi="Arial" w:cs="Arial"/>
          <w:sz w:val="24"/>
          <w:szCs w:val="24"/>
          <w:lang w:val="en"/>
        </w:rPr>
        <w:t xml:space="preserve">The Big Lottery Fund </w:t>
      </w:r>
    </w:p>
    <w:p w:rsidR="009E3267" w:rsidRPr="009E3267" w:rsidRDefault="009E3267" w:rsidP="009E3267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en"/>
        </w:rPr>
      </w:pPr>
    </w:p>
    <w:p w:rsidR="00273E79" w:rsidRPr="009E3267" w:rsidRDefault="009E3267" w:rsidP="009E3267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  <w:r w:rsidRPr="009E3267">
        <w:rPr>
          <w:rFonts w:ascii="Arial" w:hAnsi="Arial" w:cs="Arial"/>
          <w:sz w:val="24"/>
          <w:szCs w:val="24"/>
          <w:lang w:val="en"/>
        </w:rPr>
        <w:t>1 Plough Place, London, Greater London EC4A 1DE, United Kingdom</w:t>
      </w:r>
    </w:p>
    <w:p w:rsidR="009E3267" w:rsidRPr="009E3267" w:rsidRDefault="009E3267" w:rsidP="00BB72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73E79" w:rsidRPr="00273E79" w:rsidRDefault="00273E79" w:rsidP="00273E7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Legal Basis</w:t>
      </w:r>
      <w:r w:rsidR="002E30B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</w:p>
    <w:p w:rsidR="00273E79" w:rsidRDefault="00273E79" w:rsidP="00273E79">
      <w:pPr>
        <w:pStyle w:val="ListParagraph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2E30BB" w:rsidRDefault="00273E79" w:rsidP="00273E79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Aid under the Scheme may be awarded </w:t>
      </w:r>
      <w:r w:rsidR="003C2E36">
        <w:rPr>
          <w:rFonts w:ascii="Arial" w:eastAsia="Calibri" w:hAnsi="Arial" w:cs="Arial"/>
          <w:sz w:val="24"/>
          <w:szCs w:val="24"/>
        </w:rPr>
        <w:t>whenever it meets</w:t>
      </w:r>
      <w:r>
        <w:rPr>
          <w:rFonts w:ascii="Arial" w:eastAsia="Calibri" w:hAnsi="Arial" w:cs="Arial"/>
          <w:sz w:val="24"/>
          <w:szCs w:val="24"/>
        </w:rPr>
        <w:t xml:space="preserve"> the </w:t>
      </w:r>
      <w:r w:rsidR="006D0F02" w:rsidRPr="006D0F02">
        <w:rPr>
          <w:rFonts w:ascii="Arial" w:eastAsia="Calibri" w:hAnsi="Arial" w:cs="Arial"/>
          <w:sz w:val="24"/>
          <w:szCs w:val="24"/>
        </w:rPr>
        <w:t>relevant State Aid regulations</w:t>
      </w:r>
      <w:r w:rsidR="008A08B8">
        <w:rPr>
          <w:rFonts w:ascii="Arial" w:eastAsia="Calibri" w:hAnsi="Arial" w:cs="Arial"/>
          <w:sz w:val="24"/>
          <w:szCs w:val="24"/>
        </w:rPr>
        <w:t>.</w:t>
      </w:r>
    </w:p>
    <w:p w:rsidR="009E3267" w:rsidRDefault="009E3267" w:rsidP="00273E79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365A7" w:rsidRDefault="002365A7" w:rsidP="00273E79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E3267" w:rsidRPr="002365A7" w:rsidRDefault="009E3267" w:rsidP="002365A7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2365A7">
        <w:rPr>
          <w:rFonts w:ascii="Arial" w:eastAsia="Calibri" w:hAnsi="Arial" w:cs="Arial"/>
          <w:sz w:val="24"/>
          <w:szCs w:val="24"/>
        </w:rPr>
        <w:t xml:space="preserve">The </w:t>
      </w:r>
      <w:r w:rsidR="002365A7">
        <w:rPr>
          <w:rFonts w:ascii="Arial" w:eastAsia="Calibri" w:hAnsi="Arial" w:cs="Arial"/>
          <w:sz w:val="24"/>
          <w:szCs w:val="24"/>
        </w:rPr>
        <w:t xml:space="preserve">National Lottery Community </w:t>
      </w:r>
      <w:r w:rsidRPr="002365A7">
        <w:rPr>
          <w:rFonts w:ascii="Arial" w:eastAsia="Calibri" w:hAnsi="Arial" w:cs="Arial"/>
          <w:sz w:val="24"/>
          <w:szCs w:val="24"/>
        </w:rPr>
        <w:t xml:space="preserve">Fund has the power to make awards of grant under the National Lottery Act 2006. </w:t>
      </w:r>
    </w:p>
    <w:p w:rsidR="009E3267" w:rsidRDefault="009E3267" w:rsidP="00273E79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A08B8" w:rsidRPr="008A08B8" w:rsidRDefault="008A08B8" w:rsidP="008A08B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Duration</w:t>
      </w:r>
    </w:p>
    <w:p w:rsidR="008A08B8" w:rsidRDefault="008A08B8" w:rsidP="008A08B8">
      <w:pPr>
        <w:pStyle w:val="ListParagraph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BB728D" w:rsidRDefault="002E30BB" w:rsidP="008A08B8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Aid awarded from </w:t>
      </w:r>
      <w:r w:rsidR="008A08B8">
        <w:rPr>
          <w:rFonts w:ascii="Arial" w:eastAsia="Calibri" w:hAnsi="Arial" w:cs="Arial"/>
          <w:sz w:val="24"/>
          <w:szCs w:val="24"/>
        </w:rPr>
        <w:t>0</w:t>
      </w:r>
      <w:r w:rsidR="00987A6E" w:rsidRPr="00273E79">
        <w:rPr>
          <w:rFonts w:ascii="Arial" w:eastAsia="Calibri" w:hAnsi="Arial" w:cs="Arial"/>
          <w:sz w:val="24"/>
          <w:szCs w:val="24"/>
        </w:rPr>
        <w:t>1/</w:t>
      </w:r>
      <w:r w:rsidRPr="00273E79">
        <w:rPr>
          <w:rFonts w:ascii="Arial" w:eastAsia="Calibri" w:hAnsi="Arial" w:cs="Arial"/>
          <w:sz w:val="24"/>
          <w:szCs w:val="24"/>
        </w:rPr>
        <w:t>0</w:t>
      </w:r>
      <w:r w:rsidR="006D0F02">
        <w:rPr>
          <w:rFonts w:ascii="Arial" w:eastAsia="Calibri" w:hAnsi="Arial" w:cs="Arial"/>
          <w:sz w:val="24"/>
          <w:szCs w:val="24"/>
        </w:rPr>
        <w:t>6</w:t>
      </w:r>
      <w:r w:rsidR="00987A6E" w:rsidRPr="00273E79">
        <w:rPr>
          <w:rFonts w:ascii="Arial" w:eastAsia="Calibri" w:hAnsi="Arial" w:cs="Arial"/>
          <w:sz w:val="24"/>
          <w:szCs w:val="24"/>
        </w:rPr>
        <w:t>/201</w:t>
      </w:r>
      <w:r w:rsidR="006D0F02">
        <w:rPr>
          <w:rFonts w:ascii="Arial" w:eastAsia="Calibri" w:hAnsi="Arial" w:cs="Arial"/>
          <w:sz w:val="24"/>
          <w:szCs w:val="24"/>
        </w:rPr>
        <w:t>7</w:t>
      </w:r>
      <w:r w:rsidR="008A08B8">
        <w:rPr>
          <w:rFonts w:ascii="Arial" w:eastAsia="Calibri" w:hAnsi="Arial" w:cs="Arial"/>
          <w:sz w:val="24"/>
          <w:szCs w:val="24"/>
        </w:rPr>
        <w:t xml:space="preserve"> to </w:t>
      </w:r>
      <w:r w:rsidR="00BB728D" w:rsidRPr="00BB728D">
        <w:rPr>
          <w:rFonts w:ascii="Arial" w:eastAsia="Calibri" w:hAnsi="Arial" w:cs="Arial"/>
          <w:sz w:val="24"/>
          <w:szCs w:val="24"/>
        </w:rPr>
        <w:t>31/12/</w:t>
      </w:r>
      <w:r w:rsidR="009C15D4" w:rsidRPr="00BB728D">
        <w:rPr>
          <w:rFonts w:ascii="Arial" w:eastAsia="Calibri" w:hAnsi="Arial" w:cs="Arial"/>
          <w:sz w:val="24"/>
          <w:szCs w:val="24"/>
        </w:rPr>
        <w:t>202</w:t>
      </w:r>
      <w:r w:rsidR="009C15D4">
        <w:rPr>
          <w:rFonts w:ascii="Arial" w:eastAsia="Calibri" w:hAnsi="Arial" w:cs="Arial"/>
          <w:sz w:val="24"/>
          <w:szCs w:val="24"/>
        </w:rPr>
        <w:t>0</w:t>
      </w:r>
      <w:r>
        <w:rPr>
          <w:rFonts w:ascii="Arial" w:eastAsia="Calibri" w:hAnsi="Arial" w:cs="Arial"/>
          <w:sz w:val="24"/>
          <w:szCs w:val="24"/>
        </w:rPr>
        <w:t>.</w:t>
      </w:r>
    </w:p>
    <w:p w:rsidR="008A08B8" w:rsidRDefault="008A08B8" w:rsidP="008A08B8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A08B8" w:rsidRPr="008A08B8" w:rsidRDefault="008A08B8" w:rsidP="008A08B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8A08B8">
        <w:rPr>
          <w:rFonts w:ascii="Arial" w:eastAsia="Calibri" w:hAnsi="Arial" w:cs="Arial"/>
          <w:b/>
          <w:sz w:val="24"/>
          <w:szCs w:val="24"/>
          <w:u w:val="single"/>
        </w:rPr>
        <w:t>Economic sectors eligible</w:t>
      </w:r>
    </w:p>
    <w:p w:rsidR="00BB728D" w:rsidRPr="00BB728D" w:rsidRDefault="00BB728D" w:rsidP="00BB72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B728D" w:rsidRDefault="00987A6E" w:rsidP="008A08B8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BB728D">
        <w:rPr>
          <w:rFonts w:ascii="Arial" w:eastAsia="Calibri" w:hAnsi="Arial" w:cs="Arial"/>
          <w:sz w:val="24"/>
          <w:szCs w:val="24"/>
        </w:rPr>
        <w:t xml:space="preserve">All </w:t>
      </w:r>
      <w:r>
        <w:rPr>
          <w:rFonts w:ascii="Arial" w:eastAsia="Calibri" w:hAnsi="Arial" w:cs="Arial"/>
          <w:sz w:val="24"/>
          <w:szCs w:val="24"/>
        </w:rPr>
        <w:t xml:space="preserve">sectors </w:t>
      </w:r>
      <w:r w:rsidR="002E30BB">
        <w:rPr>
          <w:rFonts w:ascii="Arial" w:eastAsia="Calibri" w:hAnsi="Arial" w:cs="Arial"/>
          <w:sz w:val="24"/>
          <w:szCs w:val="24"/>
        </w:rPr>
        <w:t xml:space="preserve">are </w:t>
      </w:r>
      <w:r w:rsidRPr="00BB728D">
        <w:rPr>
          <w:rFonts w:ascii="Arial" w:eastAsia="Calibri" w:hAnsi="Arial" w:cs="Arial"/>
          <w:sz w:val="24"/>
          <w:szCs w:val="24"/>
        </w:rPr>
        <w:t xml:space="preserve">eligible to receive </w:t>
      </w:r>
      <w:r w:rsidR="00BB728D" w:rsidRPr="00BB728D">
        <w:rPr>
          <w:rFonts w:ascii="Arial" w:eastAsia="Calibri" w:hAnsi="Arial" w:cs="Arial"/>
          <w:sz w:val="24"/>
          <w:szCs w:val="24"/>
        </w:rPr>
        <w:t>funding</w:t>
      </w:r>
      <w:r w:rsidR="002E30BB">
        <w:rPr>
          <w:rFonts w:ascii="Arial" w:eastAsia="Calibri" w:hAnsi="Arial" w:cs="Arial"/>
          <w:sz w:val="24"/>
          <w:szCs w:val="24"/>
        </w:rPr>
        <w:t xml:space="preserve">, other than those </w:t>
      </w:r>
      <w:r w:rsidR="006D0F02">
        <w:rPr>
          <w:rFonts w:ascii="Arial" w:eastAsia="Calibri" w:hAnsi="Arial" w:cs="Arial"/>
          <w:sz w:val="24"/>
          <w:szCs w:val="24"/>
        </w:rPr>
        <w:t>precluded</w:t>
      </w:r>
      <w:r w:rsidR="002E30BB">
        <w:rPr>
          <w:rFonts w:ascii="Arial" w:eastAsia="Calibri" w:hAnsi="Arial" w:cs="Arial"/>
          <w:sz w:val="24"/>
          <w:szCs w:val="24"/>
        </w:rPr>
        <w:t xml:space="preserve"> </w:t>
      </w:r>
      <w:r w:rsidR="006D0F02">
        <w:rPr>
          <w:rFonts w:ascii="Arial" w:eastAsia="Calibri" w:hAnsi="Arial" w:cs="Arial"/>
          <w:sz w:val="24"/>
          <w:szCs w:val="24"/>
        </w:rPr>
        <w:t>under the</w:t>
      </w:r>
      <w:r w:rsidR="002E30BB">
        <w:rPr>
          <w:rFonts w:ascii="Arial" w:eastAsia="Calibri" w:hAnsi="Arial" w:cs="Arial"/>
          <w:sz w:val="24"/>
          <w:szCs w:val="24"/>
        </w:rPr>
        <w:t xml:space="preserve"> </w:t>
      </w:r>
      <w:r w:rsidR="006D0F02" w:rsidRPr="006D0F02">
        <w:rPr>
          <w:rFonts w:ascii="Arial" w:eastAsia="Calibri" w:hAnsi="Arial" w:cs="Arial"/>
          <w:sz w:val="24"/>
          <w:szCs w:val="24"/>
        </w:rPr>
        <w:t>relevant State Aid regulations</w:t>
      </w:r>
      <w:r w:rsidR="002365A7">
        <w:rPr>
          <w:rFonts w:ascii="Arial" w:eastAsia="Calibri" w:hAnsi="Arial" w:cs="Arial"/>
          <w:sz w:val="24"/>
          <w:szCs w:val="24"/>
        </w:rPr>
        <w:t>.</w:t>
      </w:r>
    </w:p>
    <w:p w:rsidR="008A08B8" w:rsidRDefault="008A08B8" w:rsidP="008A08B8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:rsidR="008A08B8" w:rsidRDefault="008A08B8" w:rsidP="008A08B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8A08B8">
        <w:rPr>
          <w:rFonts w:ascii="Arial" w:eastAsia="Calibri" w:hAnsi="Arial" w:cs="Arial"/>
          <w:b/>
          <w:sz w:val="24"/>
          <w:szCs w:val="24"/>
          <w:u w:val="single"/>
        </w:rPr>
        <w:t>Beneficiary type</w:t>
      </w:r>
    </w:p>
    <w:p w:rsidR="008A08B8" w:rsidRPr="008A08B8" w:rsidRDefault="008A08B8" w:rsidP="008A08B8">
      <w:pPr>
        <w:pStyle w:val="ListParagraph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BB728D" w:rsidRPr="00BB728D" w:rsidRDefault="008A08B8" w:rsidP="008A08B8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</w:t>
      </w:r>
      <w:r w:rsidR="00B03C82" w:rsidRPr="00BB728D">
        <w:rPr>
          <w:rFonts w:ascii="Arial" w:eastAsia="Calibri" w:hAnsi="Arial" w:cs="Arial"/>
          <w:sz w:val="24"/>
          <w:szCs w:val="24"/>
        </w:rPr>
        <w:t>arge, medium sized and small enterprises</w:t>
      </w:r>
      <w:r w:rsidR="003C2E36">
        <w:rPr>
          <w:rFonts w:ascii="Arial" w:eastAsia="Calibri" w:hAnsi="Arial" w:cs="Arial"/>
          <w:sz w:val="24"/>
          <w:szCs w:val="24"/>
        </w:rPr>
        <w:t xml:space="preserve"> may receive aid under the Scheme</w:t>
      </w:r>
      <w:r w:rsidR="002E30BB">
        <w:rPr>
          <w:rFonts w:ascii="Arial" w:eastAsia="Calibri" w:hAnsi="Arial" w:cs="Arial"/>
          <w:sz w:val="24"/>
          <w:szCs w:val="24"/>
        </w:rPr>
        <w:t>.</w:t>
      </w:r>
    </w:p>
    <w:p w:rsidR="00BB728D" w:rsidRPr="00BB728D" w:rsidRDefault="00BB728D" w:rsidP="00BB72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A08B8" w:rsidRPr="008A08B8" w:rsidRDefault="00BB728D" w:rsidP="008A08B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A08B8">
        <w:rPr>
          <w:rFonts w:ascii="Arial" w:eastAsia="Calibri" w:hAnsi="Arial" w:cs="Arial"/>
          <w:b/>
          <w:sz w:val="24"/>
          <w:szCs w:val="24"/>
          <w:u w:val="single"/>
        </w:rPr>
        <w:t>Total annual budget planned</w:t>
      </w:r>
    </w:p>
    <w:p w:rsidR="008A08B8" w:rsidRDefault="008A08B8" w:rsidP="008A08B8">
      <w:pPr>
        <w:pStyle w:val="ListParagraph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C2E36" w:rsidRPr="007F03A8" w:rsidRDefault="00677288" w:rsidP="007F03A8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In any calendar year the Scheme shall not be used to provide awards which cumulatively exceed </w:t>
      </w:r>
      <w:r w:rsidR="00BB728D" w:rsidRPr="008A08B8">
        <w:rPr>
          <w:rFonts w:ascii="Arial" w:eastAsia="Calibri" w:hAnsi="Arial" w:cs="Arial"/>
          <w:sz w:val="24"/>
          <w:szCs w:val="24"/>
        </w:rPr>
        <w:t>£</w:t>
      </w:r>
      <w:r w:rsidR="007F03A8">
        <w:rPr>
          <w:rFonts w:ascii="Arial" w:eastAsia="Calibri" w:hAnsi="Arial" w:cs="Arial"/>
          <w:sz w:val="24"/>
          <w:szCs w:val="24"/>
        </w:rPr>
        <w:t>10</w:t>
      </w:r>
      <w:r w:rsidR="009634BF" w:rsidRPr="008A08B8">
        <w:rPr>
          <w:rFonts w:ascii="Arial" w:eastAsia="Calibri" w:hAnsi="Arial" w:cs="Arial"/>
          <w:sz w:val="24"/>
          <w:szCs w:val="24"/>
        </w:rPr>
        <w:t xml:space="preserve"> </w:t>
      </w:r>
      <w:r w:rsidR="00BB728D" w:rsidRPr="008A08B8">
        <w:rPr>
          <w:rFonts w:ascii="Arial" w:eastAsia="Calibri" w:hAnsi="Arial" w:cs="Arial"/>
          <w:sz w:val="24"/>
          <w:szCs w:val="24"/>
        </w:rPr>
        <w:t>million</w:t>
      </w:r>
      <w:r w:rsidR="006D0F02">
        <w:rPr>
          <w:rFonts w:ascii="Arial" w:eastAsia="Calibri" w:hAnsi="Arial" w:cs="Arial"/>
          <w:sz w:val="24"/>
          <w:szCs w:val="24"/>
        </w:rPr>
        <w:t xml:space="preserve"> per annum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3C2E36">
        <w:rPr>
          <w:rFonts w:ascii="Arial" w:eastAsia="Calibri" w:hAnsi="Arial" w:cs="Arial"/>
          <w:sz w:val="24"/>
          <w:szCs w:val="24"/>
        </w:rPr>
        <w:t xml:space="preserve">For the avoidance of doubt, this figure does not reflect a committed budget, but instead is the total amount which may be allocated under the Scheme for State Aid law purposes. </w:t>
      </w:r>
      <w:r>
        <w:rPr>
          <w:rFonts w:ascii="Arial" w:eastAsia="Calibri" w:hAnsi="Arial" w:cs="Arial"/>
          <w:sz w:val="24"/>
          <w:szCs w:val="24"/>
        </w:rPr>
        <w:t>Aggregate awards made may be considerably less than this amount.</w:t>
      </w:r>
    </w:p>
    <w:p w:rsidR="00BB728D" w:rsidRPr="00BB728D" w:rsidRDefault="00BB728D" w:rsidP="00BB72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B728D" w:rsidRPr="00677288" w:rsidRDefault="00677288" w:rsidP="0067728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677288">
        <w:rPr>
          <w:rFonts w:ascii="Arial" w:eastAsia="Calibri" w:hAnsi="Arial" w:cs="Arial"/>
          <w:b/>
          <w:sz w:val="24"/>
          <w:szCs w:val="24"/>
          <w:u w:val="single"/>
        </w:rPr>
        <w:t xml:space="preserve">Types of 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aid </w:t>
      </w:r>
      <w:r w:rsidRPr="00677288">
        <w:rPr>
          <w:rFonts w:ascii="Arial" w:eastAsia="Calibri" w:hAnsi="Arial" w:cs="Arial"/>
          <w:b/>
          <w:sz w:val="24"/>
          <w:szCs w:val="24"/>
          <w:u w:val="single"/>
        </w:rPr>
        <w:t>funding</w:t>
      </w:r>
    </w:p>
    <w:p w:rsidR="00BB728D" w:rsidRPr="00BB728D" w:rsidRDefault="00BB728D" w:rsidP="00BB72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C2E36" w:rsidRDefault="003C2E36" w:rsidP="00677288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It is anticipated that the following types of aid will be awarded under the Scheme:</w:t>
      </w:r>
    </w:p>
    <w:p w:rsidR="003C2E36" w:rsidRDefault="003C2E36" w:rsidP="00677288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:rsidR="007F03A8" w:rsidRDefault="00B03C82" w:rsidP="00677288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BB728D">
        <w:rPr>
          <w:rFonts w:ascii="Arial" w:eastAsia="Calibri" w:hAnsi="Arial" w:cs="Arial"/>
          <w:sz w:val="24"/>
          <w:szCs w:val="24"/>
        </w:rPr>
        <w:t xml:space="preserve">Direct </w:t>
      </w:r>
      <w:r w:rsidR="007F03A8">
        <w:rPr>
          <w:rFonts w:ascii="Arial" w:eastAsia="Calibri" w:hAnsi="Arial" w:cs="Arial"/>
          <w:sz w:val="24"/>
          <w:szCs w:val="24"/>
        </w:rPr>
        <w:t>g</w:t>
      </w:r>
      <w:r w:rsidRPr="00BB728D">
        <w:rPr>
          <w:rFonts w:ascii="Arial" w:eastAsia="Calibri" w:hAnsi="Arial" w:cs="Arial"/>
          <w:sz w:val="24"/>
          <w:szCs w:val="24"/>
        </w:rPr>
        <w:t>rant</w:t>
      </w:r>
      <w:r w:rsidR="007F03A8">
        <w:rPr>
          <w:rFonts w:ascii="Arial" w:eastAsia="Calibri" w:hAnsi="Arial" w:cs="Arial"/>
          <w:sz w:val="24"/>
          <w:szCs w:val="24"/>
        </w:rPr>
        <w:t xml:space="preserve">; </w:t>
      </w:r>
    </w:p>
    <w:p w:rsidR="00B03C82" w:rsidRPr="00BB728D" w:rsidRDefault="007F03A8" w:rsidP="00677288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Equity; and</w:t>
      </w:r>
    </w:p>
    <w:p w:rsidR="00B03C82" w:rsidRDefault="00677288" w:rsidP="00677288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BB728D">
        <w:rPr>
          <w:rFonts w:ascii="Arial" w:eastAsia="Calibri" w:hAnsi="Arial" w:cs="Arial"/>
          <w:sz w:val="24"/>
          <w:szCs w:val="24"/>
        </w:rPr>
        <w:t xml:space="preserve">Interest </w:t>
      </w:r>
      <w:r>
        <w:rPr>
          <w:rFonts w:ascii="Arial" w:eastAsia="Calibri" w:hAnsi="Arial" w:cs="Arial"/>
          <w:sz w:val="24"/>
          <w:szCs w:val="24"/>
        </w:rPr>
        <w:t>rate</w:t>
      </w:r>
      <w:r w:rsidRPr="00BB728D">
        <w:rPr>
          <w:rFonts w:ascii="Arial" w:eastAsia="Calibri" w:hAnsi="Arial" w:cs="Arial"/>
          <w:sz w:val="24"/>
          <w:szCs w:val="24"/>
        </w:rPr>
        <w:t xml:space="preserve"> subsidy</w:t>
      </w:r>
    </w:p>
    <w:p w:rsidR="003C2E36" w:rsidRDefault="003C2E36" w:rsidP="00677288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:rsidR="00BB728D" w:rsidRPr="006C2428" w:rsidRDefault="006C2428" w:rsidP="006C242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6C2428">
        <w:rPr>
          <w:rFonts w:ascii="Arial" w:eastAsia="Calibri" w:hAnsi="Arial" w:cs="Arial"/>
          <w:b/>
          <w:sz w:val="24"/>
          <w:szCs w:val="24"/>
          <w:u w:val="single"/>
        </w:rPr>
        <w:t>Co-financing with EU Funds</w:t>
      </w:r>
    </w:p>
    <w:p w:rsidR="00BB728D" w:rsidRPr="00BB728D" w:rsidRDefault="00BB728D" w:rsidP="00BB72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B728D" w:rsidRPr="00BB728D" w:rsidRDefault="006C2428" w:rsidP="006C2428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It is n</w:t>
      </w:r>
      <w:r w:rsidR="00BB728D" w:rsidRPr="00BB728D">
        <w:rPr>
          <w:rFonts w:ascii="Arial" w:eastAsia="Calibri" w:hAnsi="Arial" w:cs="Arial"/>
          <w:sz w:val="24"/>
          <w:szCs w:val="24"/>
        </w:rPr>
        <w:t>ot expected</w:t>
      </w:r>
      <w:r>
        <w:rPr>
          <w:rFonts w:ascii="Arial" w:eastAsia="Calibri" w:hAnsi="Arial" w:cs="Arial"/>
          <w:sz w:val="24"/>
          <w:szCs w:val="24"/>
        </w:rPr>
        <w:t xml:space="preserve"> that the Scheme will be used to co-finance with EU Funds</w:t>
      </w:r>
      <w:r w:rsidR="009634BF">
        <w:rPr>
          <w:rFonts w:ascii="Arial" w:eastAsia="Calibri" w:hAnsi="Arial" w:cs="Arial"/>
          <w:sz w:val="24"/>
          <w:szCs w:val="24"/>
        </w:rPr>
        <w:t xml:space="preserve">, but </w:t>
      </w:r>
      <w:r w:rsidR="007F03A8">
        <w:rPr>
          <w:rFonts w:ascii="Arial" w:eastAsia="Calibri" w:hAnsi="Arial" w:cs="Arial"/>
          <w:sz w:val="24"/>
          <w:szCs w:val="24"/>
        </w:rPr>
        <w:t xml:space="preserve">the </w:t>
      </w:r>
      <w:r w:rsidR="002365A7">
        <w:rPr>
          <w:rFonts w:ascii="Arial" w:eastAsia="Calibri" w:hAnsi="Arial" w:cs="Arial"/>
          <w:sz w:val="24"/>
          <w:szCs w:val="24"/>
        </w:rPr>
        <w:t xml:space="preserve">National Lottery Community Fund </w:t>
      </w:r>
      <w:r w:rsidR="009634BF">
        <w:rPr>
          <w:rFonts w:ascii="Arial" w:eastAsia="Calibri" w:hAnsi="Arial" w:cs="Arial"/>
          <w:sz w:val="24"/>
          <w:szCs w:val="24"/>
        </w:rPr>
        <w:t xml:space="preserve">reserve the right to declare EU funds, including European Structural and Investment Funds, under this Scheme. </w:t>
      </w:r>
    </w:p>
    <w:p w:rsidR="00BB728D" w:rsidRPr="00BB728D" w:rsidRDefault="00BB728D" w:rsidP="00BB72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C2428" w:rsidRPr="006C2428" w:rsidRDefault="006C2428" w:rsidP="006C242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Incentive Effect</w:t>
      </w:r>
    </w:p>
    <w:p w:rsidR="006C2428" w:rsidRDefault="006C2428" w:rsidP="006C2428">
      <w:pPr>
        <w:pStyle w:val="ListParagraph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6C2428" w:rsidRDefault="007F03A8" w:rsidP="006C2428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An award shall only have cover under the Scheme if it meets the relevant incentive effect requirements</w:t>
      </w:r>
      <w:r w:rsidR="006C2428">
        <w:rPr>
          <w:rFonts w:ascii="Arial" w:eastAsia="Calibri" w:hAnsi="Arial" w:cs="Arial"/>
          <w:sz w:val="24"/>
          <w:szCs w:val="24"/>
        </w:rPr>
        <w:t xml:space="preserve"> </w:t>
      </w:r>
      <w:r w:rsidR="002E30BB">
        <w:rPr>
          <w:rFonts w:ascii="Arial" w:eastAsia="Calibri" w:hAnsi="Arial" w:cs="Arial"/>
          <w:sz w:val="24"/>
          <w:szCs w:val="24"/>
        </w:rPr>
        <w:t>(</w:t>
      </w:r>
      <w:r w:rsidR="006C2428">
        <w:rPr>
          <w:rFonts w:ascii="Arial" w:eastAsia="Calibri" w:hAnsi="Arial" w:cs="Arial"/>
          <w:sz w:val="24"/>
          <w:szCs w:val="24"/>
        </w:rPr>
        <w:t xml:space="preserve">which may involve the submission of documents to the Granting Authority prior to </w:t>
      </w:r>
      <w:r>
        <w:rPr>
          <w:rFonts w:ascii="Arial" w:eastAsia="Calibri" w:hAnsi="Arial" w:cs="Arial"/>
          <w:sz w:val="24"/>
          <w:szCs w:val="24"/>
        </w:rPr>
        <w:t xml:space="preserve">the </w:t>
      </w:r>
      <w:r w:rsidR="006C2428">
        <w:rPr>
          <w:rFonts w:ascii="Arial" w:eastAsia="Calibri" w:hAnsi="Arial" w:cs="Arial"/>
          <w:sz w:val="24"/>
          <w:szCs w:val="24"/>
        </w:rPr>
        <w:t>funding award</w:t>
      </w:r>
      <w:r w:rsidR="002E30BB">
        <w:rPr>
          <w:rFonts w:ascii="Arial" w:eastAsia="Calibri" w:hAnsi="Arial" w:cs="Arial"/>
          <w:sz w:val="24"/>
          <w:szCs w:val="24"/>
        </w:rPr>
        <w:t>)</w:t>
      </w:r>
      <w:r w:rsidR="006D0F02">
        <w:rPr>
          <w:rFonts w:ascii="Arial" w:eastAsia="Calibri" w:hAnsi="Arial" w:cs="Arial"/>
          <w:sz w:val="24"/>
          <w:szCs w:val="24"/>
        </w:rPr>
        <w:t xml:space="preserve"> under the</w:t>
      </w:r>
      <w:r w:rsidR="009634BF">
        <w:rPr>
          <w:rFonts w:ascii="Arial" w:eastAsia="Calibri" w:hAnsi="Arial" w:cs="Arial"/>
          <w:sz w:val="24"/>
          <w:szCs w:val="24"/>
        </w:rPr>
        <w:t xml:space="preserve"> </w:t>
      </w:r>
      <w:r w:rsidR="006D0F02" w:rsidRPr="006D0F02">
        <w:rPr>
          <w:rFonts w:ascii="Arial" w:eastAsia="Calibri" w:hAnsi="Arial" w:cs="Arial"/>
          <w:sz w:val="24"/>
          <w:szCs w:val="24"/>
        </w:rPr>
        <w:t>relevant State Aid regulation</w:t>
      </w:r>
      <w:r w:rsidR="006D0F02">
        <w:rPr>
          <w:rFonts w:ascii="Arial" w:eastAsia="Calibri" w:hAnsi="Arial" w:cs="Arial"/>
          <w:sz w:val="24"/>
          <w:szCs w:val="24"/>
        </w:rPr>
        <w:t>.</w:t>
      </w:r>
    </w:p>
    <w:p w:rsidR="006C2428" w:rsidRDefault="006C2428" w:rsidP="006C2428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B5D62" w:rsidRDefault="00FB5D62" w:rsidP="006C2428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B5D62" w:rsidRPr="00BF0A89" w:rsidRDefault="00FB5D62" w:rsidP="00BF0A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C2428" w:rsidRPr="006C2428" w:rsidRDefault="006C2428" w:rsidP="006C242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Cumulation</w:t>
      </w:r>
    </w:p>
    <w:p w:rsidR="006C2428" w:rsidRDefault="006C2428" w:rsidP="006C2428">
      <w:pPr>
        <w:pStyle w:val="ListParagraph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E5A96" w:rsidRDefault="006C2428" w:rsidP="006C2428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C2428">
        <w:rPr>
          <w:rFonts w:ascii="Arial" w:eastAsia="Calibri" w:hAnsi="Arial" w:cs="Arial"/>
          <w:sz w:val="24"/>
          <w:szCs w:val="24"/>
        </w:rPr>
        <w:t>Aid awarded under the Scheme may only be cumulated with other awards of State Aid where this is</w:t>
      </w:r>
      <w:r w:rsidRPr="009E5A96">
        <w:rPr>
          <w:rFonts w:ascii="Arial" w:eastAsia="Calibri" w:hAnsi="Arial" w:cs="Arial"/>
          <w:sz w:val="24"/>
          <w:szCs w:val="24"/>
        </w:rPr>
        <w:t xml:space="preserve"> </w:t>
      </w:r>
      <w:r w:rsidR="009E5A96">
        <w:rPr>
          <w:rFonts w:ascii="Arial" w:eastAsia="Calibri" w:hAnsi="Arial" w:cs="Arial"/>
          <w:sz w:val="24"/>
          <w:szCs w:val="24"/>
        </w:rPr>
        <w:t>consistent with the provisions of</w:t>
      </w:r>
      <w:r w:rsidR="008F6BC3">
        <w:rPr>
          <w:rFonts w:ascii="Arial" w:eastAsia="Calibri" w:hAnsi="Arial" w:cs="Arial"/>
          <w:sz w:val="24"/>
          <w:szCs w:val="24"/>
        </w:rPr>
        <w:t xml:space="preserve"> the</w:t>
      </w:r>
      <w:r w:rsidR="009E5A96">
        <w:rPr>
          <w:rFonts w:ascii="Arial" w:eastAsia="Calibri" w:hAnsi="Arial" w:cs="Arial"/>
          <w:sz w:val="24"/>
          <w:szCs w:val="24"/>
        </w:rPr>
        <w:t xml:space="preserve"> </w:t>
      </w:r>
      <w:r w:rsidR="008F6BC3" w:rsidRPr="008F6BC3">
        <w:rPr>
          <w:rFonts w:ascii="Arial" w:eastAsia="Calibri" w:hAnsi="Arial" w:cs="Arial"/>
          <w:sz w:val="24"/>
          <w:szCs w:val="24"/>
        </w:rPr>
        <w:t>relevant State Aid regulation</w:t>
      </w:r>
      <w:r w:rsidR="008F6BC3">
        <w:rPr>
          <w:rFonts w:ascii="Arial" w:eastAsia="Calibri" w:hAnsi="Arial" w:cs="Arial"/>
          <w:sz w:val="24"/>
          <w:szCs w:val="24"/>
        </w:rPr>
        <w:t>.</w:t>
      </w:r>
    </w:p>
    <w:p w:rsidR="009E5A96" w:rsidRDefault="009E5A96" w:rsidP="006C2428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E5A96" w:rsidRPr="009E5A96" w:rsidRDefault="009E5A96" w:rsidP="009E5A9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Primacy</w:t>
      </w:r>
    </w:p>
    <w:p w:rsidR="009E5A96" w:rsidRDefault="009E5A96" w:rsidP="009E5A96">
      <w:pPr>
        <w:pStyle w:val="ListParagraph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2E30BB" w:rsidRPr="00616B40" w:rsidRDefault="009E5A96" w:rsidP="002E30BB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E5A96">
        <w:rPr>
          <w:rFonts w:ascii="Arial" w:eastAsia="Calibri" w:hAnsi="Arial" w:cs="Arial"/>
          <w:sz w:val="24"/>
          <w:szCs w:val="24"/>
        </w:rPr>
        <w:t>If any part of this Scheme is inconsistent with</w:t>
      </w:r>
      <w:r w:rsidR="008F6BC3">
        <w:rPr>
          <w:rFonts w:ascii="Arial" w:eastAsia="Calibri" w:hAnsi="Arial" w:cs="Arial"/>
          <w:sz w:val="24"/>
          <w:szCs w:val="24"/>
        </w:rPr>
        <w:t xml:space="preserve"> the</w:t>
      </w:r>
      <w:r w:rsidRPr="009E5A96">
        <w:rPr>
          <w:rFonts w:ascii="Arial" w:eastAsia="Calibri" w:hAnsi="Arial" w:cs="Arial"/>
          <w:sz w:val="24"/>
          <w:szCs w:val="24"/>
        </w:rPr>
        <w:t xml:space="preserve"> </w:t>
      </w:r>
      <w:r w:rsidR="008F6BC3" w:rsidRPr="008F6BC3">
        <w:rPr>
          <w:rFonts w:ascii="Arial" w:eastAsia="Calibri" w:hAnsi="Arial" w:cs="Arial"/>
          <w:sz w:val="24"/>
          <w:szCs w:val="24"/>
        </w:rPr>
        <w:t>relevant State Aid regulation</w:t>
      </w:r>
      <w:r w:rsidRPr="009E5A96">
        <w:rPr>
          <w:rFonts w:ascii="Arial" w:eastAsia="Calibri" w:hAnsi="Arial" w:cs="Arial"/>
          <w:sz w:val="24"/>
          <w:szCs w:val="24"/>
        </w:rPr>
        <w:t xml:space="preserve">, the provisions of </w:t>
      </w:r>
      <w:r w:rsidR="008F6BC3">
        <w:rPr>
          <w:rFonts w:ascii="Arial" w:eastAsia="Calibri" w:hAnsi="Arial" w:cs="Arial"/>
          <w:sz w:val="24"/>
          <w:szCs w:val="24"/>
        </w:rPr>
        <w:t xml:space="preserve">the </w:t>
      </w:r>
      <w:r w:rsidR="008F6BC3" w:rsidRPr="008F6BC3">
        <w:rPr>
          <w:rFonts w:ascii="Arial" w:eastAsia="Calibri" w:hAnsi="Arial" w:cs="Arial"/>
          <w:sz w:val="24"/>
          <w:szCs w:val="24"/>
        </w:rPr>
        <w:t xml:space="preserve">relevant State Aid regulation </w:t>
      </w:r>
      <w:r w:rsidRPr="009E5A96">
        <w:rPr>
          <w:rFonts w:ascii="Arial" w:eastAsia="Calibri" w:hAnsi="Arial" w:cs="Arial"/>
          <w:sz w:val="24"/>
          <w:szCs w:val="24"/>
        </w:rPr>
        <w:t>shall prevail</w:t>
      </w:r>
      <w:r w:rsidR="009634BF">
        <w:rPr>
          <w:rFonts w:ascii="Arial" w:eastAsia="Calibri" w:hAnsi="Arial" w:cs="Arial"/>
          <w:sz w:val="24"/>
          <w:szCs w:val="24"/>
        </w:rPr>
        <w:t>.</w:t>
      </w:r>
    </w:p>
    <w:p w:rsidR="009E5A96" w:rsidRDefault="009E5A96" w:rsidP="009E5A96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F03A8" w:rsidRDefault="007F03A8" w:rsidP="009E5A9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9E5A96" w:rsidRDefault="009E5A96" w:rsidP="009E5A9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Specific Conditions</w:t>
      </w:r>
    </w:p>
    <w:p w:rsidR="009E5A96" w:rsidRDefault="009E5A96" w:rsidP="009E5A9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9E5A96" w:rsidRPr="009E5A96" w:rsidRDefault="003C2E36" w:rsidP="003C2E3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Scope</w:t>
      </w:r>
    </w:p>
    <w:p w:rsidR="009E5A96" w:rsidRDefault="009E5A96" w:rsidP="009E5A96">
      <w:pPr>
        <w:pStyle w:val="ListParagraph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C2E36" w:rsidRDefault="002E30BB" w:rsidP="009E5A96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Scheme </w:t>
      </w:r>
      <w:r w:rsidR="003C2E36">
        <w:rPr>
          <w:rFonts w:ascii="Arial" w:eastAsia="Calibri" w:hAnsi="Arial" w:cs="Arial"/>
          <w:sz w:val="24"/>
          <w:szCs w:val="24"/>
        </w:rPr>
        <w:t xml:space="preserve">covers all the categories set out in the table below. </w:t>
      </w:r>
    </w:p>
    <w:p w:rsidR="009E5A96" w:rsidRPr="00616B40" w:rsidRDefault="009E5A96" w:rsidP="00616B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E5A96" w:rsidRPr="009E5A96" w:rsidRDefault="009E5A96" w:rsidP="00616B4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Eligible Costs</w:t>
      </w:r>
    </w:p>
    <w:p w:rsidR="009E5A96" w:rsidRDefault="009E5A96" w:rsidP="009E5A96">
      <w:pPr>
        <w:pStyle w:val="ListParagraph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E5A96" w:rsidRDefault="008F6BC3" w:rsidP="009E5A96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eligible costs</w:t>
      </w:r>
      <w:r w:rsidR="009E5A96">
        <w:rPr>
          <w:rFonts w:ascii="Arial" w:eastAsia="Calibri" w:hAnsi="Arial" w:cs="Arial"/>
          <w:sz w:val="24"/>
          <w:szCs w:val="24"/>
        </w:rPr>
        <w:t xml:space="preserve"> in relation to each primary objective </w:t>
      </w:r>
      <w:r>
        <w:rPr>
          <w:rFonts w:ascii="Arial" w:eastAsia="Calibri" w:hAnsi="Arial" w:cs="Arial"/>
          <w:sz w:val="24"/>
          <w:szCs w:val="24"/>
        </w:rPr>
        <w:t xml:space="preserve">shall </w:t>
      </w:r>
      <w:r w:rsidR="009E5A96">
        <w:rPr>
          <w:rFonts w:ascii="Arial" w:eastAsia="Calibri" w:hAnsi="Arial" w:cs="Arial"/>
          <w:sz w:val="24"/>
          <w:szCs w:val="24"/>
        </w:rPr>
        <w:t>be those that meet the criteria set out in</w:t>
      </w:r>
      <w:r>
        <w:rPr>
          <w:rFonts w:ascii="Arial" w:eastAsia="Calibri" w:hAnsi="Arial" w:cs="Arial"/>
          <w:sz w:val="24"/>
          <w:szCs w:val="24"/>
        </w:rPr>
        <w:t xml:space="preserve"> the </w:t>
      </w:r>
      <w:r w:rsidRPr="008F6BC3">
        <w:rPr>
          <w:rFonts w:ascii="Arial" w:eastAsia="Calibri" w:hAnsi="Arial" w:cs="Arial"/>
          <w:sz w:val="24"/>
          <w:szCs w:val="24"/>
        </w:rPr>
        <w:t xml:space="preserve">relevant State Aid regulation </w:t>
      </w:r>
      <w:r w:rsidR="009E5A96">
        <w:rPr>
          <w:rFonts w:ascii="Arial" w:eastAsia="Calibri" w:hAnsi="Arial" w:cs="Arial"/>
          <w:sz w:val="24"/>
          <w:szCs w:val="24"/>
        </w:rPr>
        <w:t>in respect of such primary objective</w:t>
      </w:r>
      <w:r w:rsidR="009634BF">
        <w:rPr>
          <w:rFonts w:ascii="Arial" w:eastAsia="Calibri" w:hAnsi="Arial" w:cs="Arial"/>
          <w:sz w:val="24"/>
          <w:szCs w:val="24"/>
        </w:rPr>
        <w:t>.</w:t>
      </w:r>
    </w:p>
    <w:p w:rsidR="009E5A96" w:rsidRDefault="009E5A96" w:rsidP="009E5A96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E5A96" w:rsidRPr="009E5A96" w:rsidRDefault="009E5A96" w:rsidP="003C2E3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Aid Intensity</w:t>
      </w:r>
    </w:p>
    <w:p w:rsidR="009E5A96" w:rsidRDefault="009E5A96" w:rsidP="009E5A96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E5A96" w:rsidRDefault="009E5A96" w:rsidP="009E5A96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</w:t>
      </w:r>
      <w:r w:rsidR="008F6BC3">
        <w:rPr>
          <w:rFonts w:ascii="Arial" w:eastAsia="Calibri" w:hAnsi="Arial" w:cs="Arial"/>
          <w:sz w:val="24"/>
          <w:szCs w:val="24"/>
        </w:rPr>
        <w:t xml:space="preserve">maximum </w:t>
      </w:r>
      <w:r>
        <w:rPr>
          <w:rFonts w:ascii="Arial" w:eastAsia="Calibri" w:hAnsi="Arial" w:cs="Arial"/>
          <w:sz w:val="24"/>
          <w:szCs w:val="24"/>
        </w:rPr>
        <w:t>aid inten</w:t>
      </w:r>
      <w:r w:rsidR="00EC3E8F">
        <w:rPr>
          <w:rFonts w:ascii="Arial" w:eastAsia="Calibri" w:hAnsi="Arial" w:cs="Arial"/>
          <w:sz w:val="24"/>
          <w:szCs w:val="24"/>
        </w:rPr>
        <w:t>sity applicable to the aid measure</w:t>
      </w:r>
      <w:r w:rsidR="008F6BC3">
        <w:rPr>
          <w:rFonts w:ascii="Arial" w:eastAsia="Calibri" w:hAnsi="Arial" w:cs="Arial"/>
          <w:sz w:val="24"/>
          <w:szCs w:val="24"/>
        </w:rPr>
        <w:t xml:space="preserve"> is that set out in the </w:t>
      </w:r>
      <w:r w:rsidR="008F6BC3" w:rsidRPr="008F6BC3">
        <w:rPr>
          <w:rFonts w:ascii="Arial" w:eastAsia="Calibri" w:hAnsi="Arial" w:cs="Arial"/>
          <w:sz w:val="24"/>
          <w:szCs w:val="24"/>
        </w:rPr>
        <w:t>relevant State Aid regulation</w:t>
      </w:r>
      <w:r w:rsidR="009634BF">
        <w:rPr>
          <w:rFonts w:ascii="Arial" w:eastAsia="Calibri" w:hAnsi="Arial" w:cs="Arial"/>
          <w:sz w:val="24"/>
          <w:szCs w:val="24"/>
        </w:rPr>
        <w:t>.</w:t>
      </w:r>
    </w:p>
    <w:p w:rsidR="0016571F" w:rsidRDefault="0016571F" w:rsidP="009E5A96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6571F" w:rsidRPr="0016571F" w:rsidRDefault="0016571F" w:rsidP="003C2E3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Excluded Undertakings</w:t>
      </w:r>
    </w:p>
    <w:p w:rsidR="0016571F" w:rsidRDefault="0016571F" w:rsidP="0016571F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6571F" w:rsidRDefault="0016571F" w:rsidP="0016571F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See </w:t>
      </w:r>
      <w:r w:rsidR="008F6BC3">
        <w:rPr>
          <w:rFonts w:ascii="Arial" w:eastAsia="Calibri" w:hAnsi="Arial" w:cs="Arial"/>
          <w:sz w:val="24"/>
          <w:szCs w:val="24"/>
        </w:rPr>
        <w:t xml:space="preserve">the </w:t>
      </w:r>
      <w:r w:rsidR="008F6BC3" w:rsidRPr="008F6BC3">
        <w:rPr>
          <w:rFonts w:ascii="Arial" w:eastAsia="Calibri" w:hAnsi="Arial" w:cs="Arial"/>
          <w:sz w:val="24"/>
          <w:szCs w:val="24"/>
        </w:rPr>
        <w:t>relevant State Aid regulation</w:t>
      </w:r>
      <w:r w:rsidR="009634BF">
        <w:rPr>
          <w:rFonts w:ascii="Arial" w:eastAsia="Calibri" w:hAnsi="Arial" w:cs="Arial"/>
          <w:sz w:val="24"/>
          <w:szCs w:val="24"/>
        </w:rPr>
        <w:t>.</w:t>
      </w:r>
    </w:p>
    <w:p w:rsidR="0016571F" w:rsidRDefault="0016571F" w:rsidP="0016571F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6571F" w:rsidRPr="009E5A96" w:rsidRDefault="009634BF" w:rsidP="003C2E3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Reporting</w:t>
      </w:r>
    </w:p>
    <w:p w:rsidR="0016571F" w:rsidRDefault="0016571F" w:rsidP="009E5A96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D53C3" w:rsidRDefault="008F6BC3" w:rsidP="009E5A96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Any recipient of aid under the Scheme agrees to provide </w:t>
      </w:r>
      <w:proofErr w:type="gramStart"/>
      <w:r w:rsidR="009634BF">
        <w:rPr>
          <w:rFonts w:ascii="Arial" w:eastAsia="Calibri" w:hAnsi="Arial" w:cs="Arial"/>
          <w:sz w:val="24"/>
          <w:szCs w:val="24"/>
        </w:rPr>
        <w:t>sufficient</w:t>
      </w:r>
      <w:proofErr w:type="gramEnd"/>
      <w:r w:rsidR="009634BF">
        <w:rPr>
          <w:rFonts w:ascii="Arial" w:eastAsia="Calibri" w:hAnsi="Arial" w:cs="Arial"/>
          <w:sz w:val="24"/>
          <w:szCs w:val="24"/>
        </w:rPr>
        <w:t xml:space="preserve"> information to </w:t>
      </w:r>
      <w:r w:rsidR="007F03A8">
        <w:rPr>
          <w:rFonts w:ascii="Arial" w:eastAsia="Calibri" w:hAnsi="Arial" w:cs="Arial"/>
          <w:sz w:val="24"/>
          <w:szCs w:val="24"/>
        </w:rPr>
        <w:t>the</w:t>
      </w:r>
      <w:r w:rsidR="002365A7">
        <w:rPr>
          <w:rFonts w:ascii="Arial" w:eastAsia="Calibri" w:hAnsi="Arial" w:cs="Arial"/>
          <w:sz w:val="24"/>
          <w:szCs w:val="24"/>
        </w:rPr>
        <w:t xml:space="preserve"> National Lottery Community Fund</w:t>
      </w:r>
      <w:r>
        <w:rPr>
          <w:rFonts w:ascii="Arial" w:eastAsia="Calibri" w:hAnsi="Arial" w:cs="Arial"/>
          <w:sz w:val="24"/>
          <w:szCs w:val="24"/>
        </w:rPr>
        <w:t>,</w:t>
      </w:r>
      <w:r w:rsidR="007F03A8">
        <w:rPr>
          <w:rFonts w:ascii="Arial" w:eastAsia="Calibri" w:hAnsi="Arial" w:cs="Arial"/>
          <w:sz w:val="24"/>
          <w:szCs w:val="24"/>
        </w:rPr>
        <w:t xml:space="preserve"> upon request</w:t>
      </w:r>
      <w:r>
        <w:rPr>
          <w:rFonts w:ascii="Arial" w:eastAsia="Calibri" w:hAnsi="Arial" w:cs="Arial"/>
          <w:sz w:val="24"/>
          <w:szCs w:val="24"/>
        </w:rPr>
        <w:t>,</w:t>
      </w:r>
      <w:r w:rsidR="007F03A8">
        <w:rPr>
          <w:rFonts w:ascii="Arial" w:eastAsia="Calibri" w:hAnsi="Arial" w:cs="Arial"/>
          <w:sz w:val="24"/>
          <w:szCs w:val="24"/>
        </w:rPr>
        <w:t xml:space="preserve"> to</w:t>
      </w:r>
      <w:r>
        <w:rPr>
          <w:rFonts w:ascii="Arial" w:eastAsia="Calibri" w:hAnsi="Arial" w:cs="Arial"/>
          <w:sz w:val="24"/>
          <w:szCs w:val="24"/>
        </w:rPr>
        <w:t xml:space="preserve"> enable the reporting requirements to be met</w:t>
      </w:r>
      <w:r w:rsidR="007F03A8">
        <w:rPr>
          <w:rFonts w:ascii="Arial" w:eastAsia="Calibri" w:hAnsi="Arial" w:cs="Arial"/>
          <w:sz w:val="24"/>
          <w:szCs w:val="24"/>
        </w:rPr>
        <w:t>.</w:t>
      </w:r>
    </w:p>
    <w:p w:rsidR="00FB5D62" w:rsidRPr="00FB5D62" w:rsidRDefault="00FB5D62" w:rsidP="00FB5D62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B5D62" w:rsidRDefault="00F97B61" w:rsidP="00BB728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97B61">
        <w:rPr>
          <w:rFonts w:ascii="Arial" w:eastAsia="Calibri" w:hAnsi="Arial" w:cs="Arial"/>
          <w:b/>
          <w:sz w:val="24"/>
          <w:szCs w:val="24"/>
        </w:rPr>
        <w:t>Table</w:t>
      </w:r>
    </w:p>
    <w:p w:rsidR="002365A7" w:rsidRPr="00F97B61" w:rsidRDefault="002365A7" w:rsidP="00BB728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9"/>
        <w:gridCol w:w="2170"/>
        <w:gridCol w:w="1937"/>
      </w:tblGrid>
      <w:tr w:rsidR="006D53C3" w:rsidTr="007D3F57">
        <w:tc>
          <w:tcPr>
            <w:tcW w:w="4909" w:type="dxa"/>
          </w:tcPr>
          <w:p w:rsidR="006D53C3" w:rsidRPr="00126A57" w:rsidRDefault="006D53C3" w:rsidP="006D53C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6A57">
              <w:rPr>
                <w:rFonts w:ascii="Arial" w:eastAsia="Calibri" w:hAnsi="Arial" w:cs="Arial"/>
                <w:b/>
                <w:sz w:val="24"/>
                <w:szCs w:val="24"/>
              </w:rPr>
              <w:t>Primary Objective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/General Objectives</w:t>
            </w:r>
          </w:p>
        </w:tc>
        <w:tc>
          <w:tcPr>
            <w:tcW w:w="2170" w:type="dxa"/>
          </w:tcPr>
          <w:p w:rsidR="006D53C3" w:rsidRPr="00126A57" w:rsidRDefault="006D53C3" w:rsidP="00BB728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6A57">
              <w:rPr>
                <w:rFonts w:ascii="Arial" w:eastAsia="Calibri" w:hAnsi="Arial" w:cs="Arial"/>
                <w:b/>
                <w:sz w:val="24"/>
                <w:szCs w:val="24"/>
              </w:rPr>
              <w:t>Max aid intensity</w:t>
            </w:r>
            <w:r w:rsidR="006A6118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126A57">
              <w:rPr>
                <w:rFonts w:ascii="Arial" w:eastAsia="Calibri" w:hAnsi="Arial" w:cs="Arial"/>
                <w:b/>
                <w:sz w:val="24"/>
                <w:szCs w:val="24"/>
              </w:rPr>
              <w:t>in % or max annual aid amount in national currency</w:t>
            </w:r>
          </w:p>
        </w:tc>
        <w:tc>
          <w:tcPr>
            <w:tcW w:w="1937" w:type="dxa"/>
          </w:tcPr>
          <w:p w:rsidR="006D53C3" w:rsidRPr="00126A57" w:rsidRDefault="006D53C3" w:rsidP="00BB728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6A57">
              <w:rPr>
                <w:rFonts w:ascii="Arial" w:eastAsia="Calibri" w:hAnsi="Arial" w:cs="Arial"/>
                <w:b/>
                <w:sz w:val="24"/>
                <w:szCs w:val="24"/>
              </w:rPr>
              <w:t>SME-bonuses in %</w:t>
            </w:r>
          </w:p>
        </w:tc>
      </w:tr>
      <w:tr w:rsidR="006D53C3" w:rsidTr="007D3F57">
        <w:tc>
          <w:tcPr>
            <w:tcW w:w="4909" w:type="dxa"/>
          </w:tcPr>
          <w:p w:rsidR="006D53C3" w:rsidRDefault="006A6118" w:rsidP="00BB728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Regional aid-</w:t>
            </w:r>
            <w:r w:rsidR="007F03A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Investment aid (Art.14)</w:t>
            </w:r>
          </w:p>
        </w:tc>
        <w:tc>
          <w:tcPr>
            <w:tcW w:w="2170" w:type="dxa"/>
          </w:tcPr>
          <w:p w:rsidR="006D53C3" w:rsidRDefault="006A6118" w:rsidP="006A61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2C267B">
              <w:rPr>
                <w:rFonts w:ascii="Arial" w:eastAsia="Calibri" w:hAnsi="Arial" w:cs="Arial"/>
                <w:sz w:val="24"/>
                <w:szCs w:val="24"/>
              </w:rPr>
              <w:t>%</w:t>
            </w:r>
            <w:r w:rsidR="007F03A8">
              <w:rPr>
                <w:rFonts w:ascii="Arial" w:eastAsia="Calibri" w:hAnsi="Arial" w:cs="Arial"/>
                <w:sz w:val="24"/>
                <w:szCs w:val="24"/>
              </w:rPr>
              <w:t xml:space="preserve"> -15% </w:t>
            </w:r>
          </w:p>
          <w:p w:rsidR="007F03A8" w:rsidRDefault="007F03A8" w:rsidP="007D3F5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(</w:t>
            </w:r>
            <w:r w:rsidR="007D3F57">
              <w:rPr>
                <w:rFonts w:ascii="Arial" w:eastAsia="Calibri" w:hAnsi="Arial" w:cs="Arial"/>
                <w:sz w:val="24"/>
                <w:szCs w:val="24"/>
              </w:rPr>
              <w:t xml:space="preserve">although a small number of areas of the UK are </w:t>
            </w:r>
            <w:r>
              <w:rPr>
                <w:rFonts w:ascii="Arial" w:eastAsia="Calibri" w:hAnsi="Arial" w:cs="Arial"/>
                <w:sz w:val="24"/>
                <w:szCs w:val="24"/>
              </w:rPr>
              <w:t>subject to</w:t>
            </w:r>
            <w:r w:rsidR="007D3F57">
              <w:rPr>
                <w:rFonts w:ascii="Arial" w:eastAsia="Calibri" w:hAnsi="Arial" w:cs="Arial"/>
                <w:sz w:val="24"/>
                <w:szCs w:val="24"/>
              </w:rPr>
              <w:t xml:space="preserve"> higher </w:t>
            </w:r>
            <w:r>
              <w:rPr>
                <w:rFonts w:ascii="Arial" w:eastAsia="Calibri" w:hAnsi="Arial" w:cs="Arial"/>
                <w:sz w:val="24"/>
                <w:szCs w:val="24"/>
              </w:rPr>
              <w:t>assisted area</w:t>
            </w:r>
            <w:r w:rsidR="007D3F57">
              <w:rPr>
                <w:rFonts w:ascii="Arial" w:eastAsia="Calibri" w:hAnsi="Arial" w:cs="Arial"/>
                <w:sz w:val="24"/>
                <w:szCs w:val="24"/>
              </w:rPr>
              <w:t xml:space="preserve"> intervention rates</w:t>
            </w:r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6D53C3" w:rsidRDefault="007F03A8" w:rsidP="006A61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  <w:r w:rsidR="00A26B86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%</w:t>
            </w:r>
            <w:r w:rsidR="00A26B86">
              <w:rPr>
                <w:rFonts w:ascii="Arial" w:eastAsia="Calibri" w:hAnsi="Arial" w:cs="Arial"/>
                <w:sz w:val="24"/>
                <w:szCs w:val="24"/>
              </w:rPr>
              <w:t xml:space="preserve"> (small)</w:t>
            </w:r>
          </w:p>
          <w:p w:rsidR="007F03A8" w:rsidRDefault="007F03A8" w:rsidP="006A61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10% (medium)</w:t>
            </w:r>
          </w:p>
        </w:tc>
      </w:tr>
      <w:tr w:rsidR="006D53C3" w:rsidTr="007D3F57">
        <w:tc>
          <w:tcPr>
            <w:tcW w:w="4909" w:type="dxa"/>
          </w:tcPr>
          <w:p w:rsidR="006D53C3" w:rsidRDefault="00F6567F" w:rsidP="00BB728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SME aid for start-ups (Art.22)</w:t>
            </w:r>
          </w:p>
        </w:tc>
        <w:tc>
          <w:tcPr>
            <w:tcW w:w="2170" w:type="dxa"/>
          </w:tcPr>
          <w:p w:rsidR="006D53C3" w:rsidRDefault="00B12E24" w:rsidP="006A61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Various</w:t>
            </w:r>
            <w:r w:rsidR="007D3F57">
              <w:rPr>
                <w:rFonts w:ascii="Arial" w:eastAsia="Calibri" w:hAnsi="Arial" w:cs="Arial"/>
                <w:sz w:val="24"/>
                <w:szCs w:val="24"/>
              </w:rPr>
              <w:t xml:space="preserve"> aid intensity levels</w:t>
            </w:r>
          </w:p>
        </w:tc>
        <w:tc>
          <w:tcPr>
            <w:tcW w:w="1937" w:type="dxa"/>
          </w:tcPr>
          <w:p w:rsidR="007D3F57" w:rsidRDefault="007D3F57" w:rsidP="007D3F57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As laid out in Article 22(3), (4) and (5) </w:t>
            </w:r>
          </w:p>
          <w:p w:rsidR="007D3F57" w:rsidRDefault="007D3F57" w:rsidP="007D3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1D22" w:rsidTr="007D3F57">
        <w:tc>
          <w:tcPr>
            <w:tcW w:w="4909" w:type="dxa"/>
          </w:tcPr>
          <w:p w:rsidR="00221D22" w:rsidRDefault="00221D22" w:rsidP="00BB728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1D22">
              <w:rPr>
                <w:rFonts w:ascii="Arial" w:eastAsia="Calibri" w:hAnsi="Arial" w:cs="Arial"/>
                <w:sz w:val="24"/>
                <w:szCs w:val="24"/>
              </w:rPr>
              <w:t>Aid for alternative trading platforms</w:t>
            </w:r>
          </w:p>
        </w:tc>
        <w:tc>
          <w:tcPr>
            <w:tcW w:w="2170" w:type="dxa"/>
          </w:tcPr>
          <w:p w:rsidR="00221D22" w:rsidRDefault="00221D22" w:rsidP="006A61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21D22">
              <w:rPr>
                <w:rFonts w:ascii="Arial" w:eastAsia="Calibri" w:hAnsi="Arial" w:cs="Arial"/>
                <w:sz w:val="24"/>
                <w:szCs w:val="24"/>
              </w:rPr>
              <w:t>Aid not provided on an aid intensity basis</w:t>
            </w:r>
          </w:p>
        </w:tc>
        <w:tc>
          <w:tcPr>
            <w:tcW w:w="1937" w:type="dxa"/>
          </w:tcPr>
          <w:p w:rsidR="00221D22" w:rsidRDefault="00221D22" w:rsidP="007D3F5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354E1" w:rsidTr="007D3F57">
        <w:tc>
          <w:tcPr>
            <w:tcW w:w="4909" w:type="dxa"/>
          </w:tcPr>
          <w:p w:rsidR="007D3F57" w:rsidRDefault="007D3F57" w:rsidP="00BB728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354E1" w:rsidRDefault="004C4569" w:rsidP="00BB728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C4569">
              <w:rPr>
                <w:rFonts w:ascii="Arial" w:eastAsia="Calibri" w:hAnsi="Arial" w:cs="Arial"/>
                <w:sz w:val="24"/>
                <w:szCs w:val="24"/>
              </w:rPr>
              <w:t>Fundamental research (Art. 25(2)(a))</w:t>
            </w:r>
          </w:p>
        </w:tc>
        <w:tc>
          <w:tcPr>
            <w:tcW w:w="2170" w:type="dxa"/>
          </w:tcPr>
          <w:p w:rsidR="00F354E1" w:rsidRDefault="001873BA" w:rsidP="006A61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  <w:r w:rsidR="002C267B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37" w:type="dxa"/>
          </w:tcPr>
          <w:p w:rsidR="007D3F57" w:rsidRPr="007D3F57" w:rsidRDefault="007D3F57" w:rsidP="007D3F5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3F57">
              <w:rPr>
                <w:rFonts w:ascii="Arial" w:eastAsia="Calibri" w:hAnsi="Arial" w:cs="Arial"/>
                <w:sz w:val="24"/>
                <w:szCs w:val="24"/>
              </w:rPr>
              <w:t>20% (small)</w:t>
            </w:r>
          </w:p>
          <w:p w:rsidR="00F354E1" w:rsidRDefault="007D3F57" w:rsidP="007D3F5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3F57">
              <w:rPr>
                <w:rFonts w:ascii="Arial" w:eastAsia="Calibri" w:hAnsi="Arial" w:cs="Arial"/>
                <w:sz w:val="24"/>
                <w:szCs w:val="24"/>
              </w:rPr>
              <w:t>10% (medium)</w:t>
            </w:r>
          </w:p>
        </w:tc>
      </w:tr>
      <w:tr w:rsidR="00F354E1" w:rsidTr="007D3F57">
        <w:tc>
          <w:tcPr>
            <w:tcW w:w="4909" w:type="dxa"/>
          </w:tcPr>
          <w:p w:rsidR="00F354E1" w:rsidRDefault="004C4569" w:rsidP="00BB728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C4569">
              <w:rPr>
                <w:rFonts w:ascii="Arial" w:eastAsia="Calibri" w:hAnsi="Arial" w:cs="Arial"/>
                <w:sz w:val="24"/>
                <w:szCs w:val="24"/>
              </w:rPr>
              <w:t>Industrial research (Art. 25(2)(b))</w:t>
            </w:r>
          </w:p>
        </w:tc>
        <w:tc>
          <w:tcPr>
            <w:tcW w:w="2170" w:type="dxa"/>
          </w:tcPr>
          <w:p w:rsidR="00F354E1" w:rsidRDefault="001873BA" w:rsidP="006A61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  <w:r w:rsidR="002C267B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37" w:type="dxa"/>
          </w:tcPr>
          <w:p w:rsidR="007D3F57" w:rsidRDefault="007D3F57" w:rsidP="007D3F5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20% (small)</w:t>
            </w:r>
          </w:p>
          <w:p w:rsidR="007D3F57" w:rsidRDefault="007D3F57" w:rsidP="007D3F5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10% (medium)</w:t>
            </w:r>
          </w:p>
        </w:tc>
      </w:tr>
      <w:tr w:rsidR="00F354E1" w:rsidTr="007D3F57">
        <w:tc>
          <w:tcPr>
            <w:tcW w:w="4909" w:type="dxa"/>
          </w:tcPr>
          <w:p w:rsidR="00F354E1" w:rsidRDefault="004C4569" w:rsidP="00BB728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C4569">
              <w:rPr>
                <w:rFonts w:ascii="Arial" w:eastAsia="Calibri" w:hAnsi="Arial" w:cs="Arial"/>
                <w:sz w:val="24"/>
                <w:szCs w:val="24"/>
              </w:rPr>
              <w:t>Experimental development (Art. 25(2)(c))</w:t>
            </w:r>
          </w:p>
        </w:tc>
        <w:tc>
          <w:tcPr>
            <w:tcW w:w="2170" w:type="dxa"/>
          </w:tcPr>
          <w:p w:rsidR="00F354E1" w:rsidRDefault="001873BA" w:rsidP="006A61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2C267B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37" w:type="dxa"/>
          </w:tcPr>
          <w:p w:rsidR="007D3F57" w:rsidRDefault="007D3F57" w:rsidP="007D3F5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20% (small)</w:t>
            </w:r>
          </w:p>
          <w:p w:rsidR="00F354E1" w:rsidRDefault="007D3F57" w:rsidP="007D3F5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10% (medium)</w:t>
            </w:r>
          </w:p>
        </w:tc>
      </w:tr>
      <w:tr w:rsidR="00F354E1" w:rsidTr="007D3F57">
        <w:tc>
          <w:tcPr>
            <w:tcW w:w="4909" w:type="dxa"/>
          </w:tcPr>
          <w:p w:rsidR="00F354E1" w:rsidRDefault="004C4569" w:rsidP="004C456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C4569">
              <w:rPr>
                <w:rFonts w:ascii="Arial" w:eastAsia="Calibri" w:hAnsi="Arial" w:cs="Arial"/>
                <w:sz w:val="24"/>
                <w:szCs w:val="24"/>
              </w:rPr>
              <w:t>Feasibility studies (Art. 25(2)(d))</w:t>
            </w:r>
          </w:p>
        </w:tc>
        <w:tc>
          <w:tcPr>
            <w:tcW w:w="2170" w:type="dxa"/>
          </w:tcPr>
          <w:p w:rsidR="00F354E1" w:rsidRDefault="001873BA" w:rsidP="006A61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  <w:r w:rsidR="002C267B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37" w:type="dxa"/>
          </w:tcPr>
          <w:p w:rsidR="007D3F57" w:rsidRDefault="007D3F57" w:rsidP="007D3F5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20% (small)</w:t>
            </w:r>
          </w:p>
          <w:p w:rsidR="00F354E1" w:rsidRDefault="007D3F57" w:rsidP="007D3F5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10% (medium)</w:t>
            </w:r>
          </w:p>
        </w:tc>
      </w:tr>
      <w:tr w:rsidR="005137A7" w:rsidTr="007D3F57">
        <w:tc>
          <w:tcPr>
            <w:tcW w:w="4909" w:type="dxa"/>
          </w:tcPr>
          <w:p w:rsidR="005137A7" w:rsidRPr="00FB5D62" w:rsidRDefault="005137A7" w:rsidP="00D469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B5D62">
              <w:rPr>
                <w:rFonts w:ascii="Arial" w:eastAsia="Calibri" w:hAnsi="Arial" w:cs="Arial"/>
                <w:sz w:val="24"/>
                <w:szCs w:val="24"/>
              </w:rPr>
              <w:t>Innovation aid for SMEs (Article 28(2)</w:t>
            </w:r>
          </w:p>
        </w:tc>
        <w:tc>
          <w:tcPr>
            <w:tcW w:w="2170" w:type="dxa"/>
          </w:tcPr>
          <w:p w:rsidR="005137A7" w:rsidRPr="00FB5D62" w:rsidRDefault="005137A7" w:rsidP="00D4693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D62">
              <w:rPr>
                <w:rFonts w:ascii="Arial" w:eastAsia="Calibri" w:hAnsi="Arial" w:cs="Arial"/>
                <w:sz w:val="24"/>
                <w:szCs w:val="24"/>
              </w:rPr>
              <w:t>50%</w:t>
            </w:r>
          </w:p>
        </w:tc>
        <w:tc>
          <w:tcPr>
            <w:tcW w:w="1937" w:type="dxa"/>
          </w:tcPr>
          <w:p w:rsidR="005137A7" w:rsidRPr="00FB5D62" w:rsidRDefault="005137A7" w:rsidP="00221D2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37A7" w:rsidTr="007D3F57">
        <w:tc>
          <w:tcPr>
            <w:tcW w:w="4909" w:type="dxa"/>
          </w:tcPr>
          <w:p w:rsidR="005137A7" w:rsidRPr="00FB5D62" w:rsidRDefault="005137A7" w:rsidP="005137A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B5D62">
              <w:rPr>
                <w:rFonts w:ascii="Arial" w:eastAsia="Calibri" w:hAnsi="Arial" w:cs="Arial"/>
                <w:sz w:val="24"/>
                <w:szCs w:val="24"/>
              </w:rPr>
              <w:t xml:space="preserve">Innovation Support and Advisory Services under €200k over 3 years (Article 28(4) </w:t>
            </w:r>
          </w:p>
        </w:tc>
        <w:tc>
          <w:tcPr>
            <w:tcW w:w="2170" w:type="dxa"/>
          </w:tcPr>
          <w:p w:rsidR="005137A7" w:rsidRPr="00FB5D62" w:rsidRDefault="005137A7" w:rsidP="00D4693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D62">
              <w:rPr>
                <w:rFonts w:ascii="Arial" w:eastAsia="Calibri" w:hAnsi="Arial" w:cs="Arial"/>
                <w:sz w:val="24"/>
                <w:szCs w:val="24"/>
              </w:rPr>
              <w:t>Aid not provided on an aid intensity basis</w:t>
            </w:r>
          </w:p>
        </w:tc>
        <w:tc>
          <w:tcPr>
            <w:tcW w:w="1937" w:type="dxa"/>
          </w:tcPr>
          <w:p w:rsidR="005137A7" w:rsidRPr="00FB5D62" w:rsidRDefault="005137A7" w:rsidP="00221D2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37A7" w:rsidTr="007D3F57">
        <w:tc>
          <w:tcPr>
            <w:tcW w:w="4909" w:type="dxa"/>
          </w:tcPr>
          <w:p w:rsidR="005137A7" w:rsidRPr="00FB5D62" w:rsidRDefault="005137A7" w:rsidP="009F0A5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B5D62">
              <w:rPr>
                <w:rFonts w:ascii="Arial" w:eastAsia="Calibri" w:hAnsi="Arial" w:cs="Arial"/>
                <w:sz w:val="24"/>
                <w:szCs w:val="24"/>
              </w:rPr>
              <w:t>Process &amp; Organisational Innovation where SME</w:t>
            </w:r>
            <w:r w:rsidR="009F0A57" w:rsidRPr="00FB5D62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FB5D62">
              <w:rPr>
                <w:rFonts w:ascii="Arial" w:eastAsia="Calibri" w:hAnsi="Arial" w:cs="Arial"/>
                <w:sz w:val="24"/>
                <w:szCs w:val="24"/>
              </w:rPr>
              <w:t xml:space="preserve"> bear at least 30% of the cost (Article 29)</w:t>
            </w:r>
          </w:p>
        </w:tc>
        <w:tc>
          <w:tcPr>
            <w:tcW w:w="2170" w:type="dxa"/>
          </w:tcPr>
          <w:p w:rsidR="005137A7" w:rsidRPr="00FB5D62" w:rsidRDefault="005137A7" w:rsidP="00D4693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D62">
              <w:rPr>
                <w:rFonts w:ascii="Arial" w:eastAsia="Calibri" w:hAnsi="Arial" w:cs="Arial"/>
                <w:sz w:val="24"/>
                <w:szCs w:val="24"/>
              </w:rPr>
              <w:t>15%</w:t>
            </w:r>
          </w:p>
        </w:tc>
        <w:tc>
          <w:tcPr>
            <w:tcW w:w="1937" w:type="dxa"/>
          </w:tcPr>
          <w:p w:rsidR="005137A7" w:rsidRPr="00FB5D62" w:rsidRDefault="005137A7" w:rsidP="00221D2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D62">
              <w:rPr>
                <w:rFonts w:ascii="Arial" w:eastAsia="Calibri" w:hAnsi="Arial" w:cs="Arial"/>
                <w:sz w:val="24"/>
                <w:szCs w:val="24"/>
              </w:rPr>
              <w:t>35% all SMEs</w:t>
            </w:r>
          </w:p>
        </w:tc>
      </w:tr>
      <w:tr w:rsidR="00D46930" w:rsidTr="007D3F57">
        <w:tc>
          <w:tcPr>
            <w:tcW w:w="4909" w:type="dxa"/>
          </w:tcPr>
          <w:p w:rsidR="00D46930" w:rsidRPr="00127C83" w:rsidRDefault="00221D22" w:rsidP="00D4693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Training Aid (Art. 31)</w:t>
            </w:r>
          </w:p>
        </w:tc>
        <w:tc>
          <w:tcPr>
            <w:tcW w:w="2170" w:type="dxa"/>
          </w:tcPr>
          <w:p w:rsidR="00D46930" w:rsidRDefault="00221D22" w:rsidP="00D4693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50%  </w:t>
            </w:r>
          </w:p>
        </w:tc>
        <w:tc>
          <w:tcPr>
            <w:tcW w:w="1937" w:type="dxa"/>
          </w:tcPr>
          <w:p w:rsidR="00221D22" w:rsidRPr="00221D22" w:rsidRDefault="00221D22" w:rsidP="00221D2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21D22">
              <w:rPr>
                <w:rFonts w:ascii="Arial" w:eastAsia="Calibri" w:hAnsi="Arial" w:cs="Arial"/>
                <w:sz w:val="24"/>
                <w:szCs w:val="24"/>
              </w:rPr>
              <w:t>20% (small)</w:t>
            </w:r>
          </w:p>
          <w:p w:rsidR="00D46930" w:rsidRDefault="00221D22" w:rsidP="00221D2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21D22">
              <w:rPr>
                <w:rFonts w:ascii="Arial" w:eastAsia="Calibri" w:hAnsi="Arial" w:cs="Arial"/>
                <w:sz w:val="24"/>
                <w:szCs w:val="24"/>
              </w:rPr>
              <w:t>10% (medium)</w:t>
            </w:r>
          </w:p>
        </w:tc>
      </w:tr>
      <w:tr w:rsidR="00221D22" w:rsidTr="0008277D">
        <w:tc>
          <w:tcPr>
            <w:tcW w:w="4909" w:type="dxa"/>
          </w:tcPr>
          <w:p w:rsidR="00221D22" w:rsidRPr="00127C83" w:rsidRDefault="00221D22" w:rsidP="0008277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7C83">
              <w:rPr>
                <w:rFonts w:ascii="Arial" w:eastAsia="Calibri" w:hAnsi="Arial" w:cs="Arial"/>
                <w:sz w:val="24"/>
                <w:szCs w:val="24"/>
              </w:rPr>
              <w:t>Investment aid for the promotion of energy from renewable sources (Art. 41)</w:t>
            </w:r>
          </w:p>
        </w:tc>
        <w:tc>
          <w:tcPr>
            <w:tcW w:w="2170" w:type="dxa"/>
          </w:tcPr>
          <w:p w:rsidR="00221D22" w:rsidRDefault="00221D22" w:rsidP="000827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50% (investments located in (c) assisted areas)</w:t>
            </w:r>
          </w:p>
        </w:tc>
        <w:tc>
          <w:tcPr>
            <w:tcW w:w="1937" w:type="dxa"/>
          </w:tcPr>
          <w:p w:rsidR="00221D22" w:rsidRDefault="00221D22" w:rsidP="000827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20% (small)</w:t>
            </w:r>
          </w:p>
          <w:p w:rsidR="00221D22" w:rsidRDefault="00221D22" w:rsidP="000827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10% (medium)</w:t>
            </w:r>
          </w:p>
        </w:tc>
      </w:tr>
      <w:tr w:rsidR="00221D22" w:rsidTr="0008277D">
        <w:tc>
          <w:tcPr>
            <w:tcW w:w="4909" w:type="dxa"/>
          </w:tcPr>
          <w:p w:rsidR="00221D22" w:rsidRPr="00127C83" w:rsidRDefault="00221D22" w:rsidP="0008277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7C83">
              <w:rPr>
                <w:rFonts w:ascii="Arial" w:eastAsia="Calibri" w:hAnsi="Arial" w:cs="Arial"/>
                <w:sz w:val="24"/>
                <w:szCs w:val="24"/>
              </w:rPr>
              <w:t>Operating aid for the promotion of electricity from renewable sources (Art. 42)</w:t>
            </w:r>
          </w:p>
        </w:tc>
        <w:tc>
          <w:tcPr>
            <w:tcW w:w="2170" w:type="dxa"/>
          </w:tcPr>
          <w:p w:rsidR="00221D22" w:rsidRDefault="00221D22" w:rsidP="000827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21D22">
              <w:rPr>
                <w:rFonts w:ascii="Arial" w:eastAsia="Calibri" w:hAnsi="Arial" w:cs="Arial"/>
                <w:sz w:val="24"/>
                <w:szCs w:val="24"/>
              </w:rPr>
              <w:t>30 – 45%</w:t>
            </w:r>
          </w:p>
        </w:tc>
        <w:tc>
          <w:tcPr>
            <w:tcW w:w="1937" w:type="dxa"/>
          </w:tcPr>
          <w:p w:rsidR="00221D22" w:rsidRPr="00221D22" w:rsidRDefault="00221D22" w:rsidP="00221D2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21D22">
              <w:rPr>
                <w:rFonts w:ascii="Arial" w:eastAsia="Calibri" w:hAnsi="Arial" w:cs="Arial"/>
                <w:sz w:val="24"/>
                <w:szCs w:val="24"/>
              </w:rPr>
              <w:t>20% (small)</w:t>
            </w:r>
          </w:p>
          <w:p w:rsidR="00221D22" w:rsidRDefault="00221D22" w:rsidP="00221D2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21D22">
              <w:rPr>
                <w:rFonts w:ascii="Arial" w:eastAsia="Calibri" w:hAnsi="Arial" w:cs="Arial"/>
                <w:sz w:val="24"/>
                <w:szCs w:val="24"/>
              </w:rPr>
              <w:t>10% (medium)</w:t>
            </w:r>
          </w:p>
        </w:tc>
      </w:tr>
      <w:tr w:rsidR="00127C83" w:rsidTr="007D3F57">
        <w:tc>
          <w:tcPr>
            <w:tcW w:w="4909" w:type="dxa"/>
          </w:tcPr>
          <w:p w:rsidR="00127C83" w:rsidRPr="00127C83" w:rsidRDefault="001873BA" w:rsidP="00BB728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873BA">
              <w:rPr>
                <w:rFonts w:ascii="Arial" w:eastAsia="Calibri" w:hAnsi="Arial" w:cs="Arial"/>
                <w:sz w:val="24"/>
                <w:szCs w:val="24"/>
              </w:rPr>
              <w:t>Aid for culture and heritage conservation (Art. 53)</w:t>
            </w:r>
          </w:p>
        </w:tc>
        <w:tc>
          <w:tcPr>
            <w:tcW w:w="2170" w:type="dxa"/>
          </w:tcPr>
          <w:p w:rsidR="00127C83" w:rsidRDefault="007B0CC7" w:rsidP="006A61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  <w:r w:rsidR="002C267B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37" w:type="dxa"/>
          </w:tcPr>
          <w:p w:rsidR="00127C83" w:rsidRDefault="00127C83" w:rsidP="006A61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7C83" w:rsidTr="007D3F57">
        <w:tc>
          <w:tcPr>
            <w:tcW w:w="4909" w:type="dxa"/>
          </w:tcPr>
          <w:p w:rsidR="00127C83" w:rsidRPr="00127C83" w:rsidRDefault="001873BA" w:rsidP="00BB728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873BA">
              <w:rPr>
                <w:rFonts w:ascii="Arial" w:eastAsia="Calibri" w:hAnsi="Arial" w:cs="Arial"/>
                <w:sz w:val="24"/>
                <w:szCs w:val="24"/>
              </w:rPr>
              <w:t>Aid for sport and multifunctional re-creation of infrastructures (Art. 55)</w:t>
            </w:r>
          </w:p>
        </w:tc>
        <w:tc>
          <w:tcPr>
            <w:tcW w:w="2170" w:type="dxa"/>
          </w:tcPr>
          <w:p w:rsidR="00127C83" w:rsidRDefault="007B0CC7" w:rsidP="006A61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  <w:r w:rsidR="002C267B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37" w:type="dxa"/>
          </w:tcPr>
          <w:p w:rsidR="00127C83" w:rsidRDefault="00127C83" w:rsidP="006A61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7C83" w:rsidTr="007D3F57">
        <w:tc>
          <w:tcPr>
            <w:tcW w:w="4909" w:type="dxa"/>
          </w:tcPr>
          <w:p w:rsidR="00127C83" w:rsidRPr="00127C83" w:rsidRDefault="001873BA" w:rsidP="00BB728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873BA">
              <w:rPr>
                <w:rFonts w:ascii="Arial" w:eastAsia="Calibri" w:hAnsi="Arial" w:cs="Arial"/>
                <w:sz w:val="24"/>
                <w:szCs w:val="24"/>
              </w:rPr>
              <w:t>Investment Aid for local infrastructures (Art. 56)</w:t>
            </w:r>
          </w:p>
        </w:tc>
        <w:tc>
          <w:tcPr>
            <w:tcW w:w="2170" w:type="dxa"/>
          </w:tcPr>
          <w:p w:rsidR="00127C83" w:rsidRDefault="007B0CC7" w:rsidP="006A61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  <w:r w:rsidR="002C267B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37" w:type="dxa"/>
          </w:tcPr>
          <w:p w:rsidR="00127C83" w:rsidRDefault="00127C83" w:rsidP="006A61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7C83" w:rsidTr="007D3F57">
        <w:tc>
          <w:tcPr>
            <w:tcW w:w="4909" w:type="dxa"/>
          </w:tcPr>
          <w:p w:rsidR="00127C83" w:rsidRPr="00127C83" w:rsidRDefault="001873BA" w:rsidP="00BB728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873BA">
              <w:rPr>
                <w:rFonts w:ascii="Arial" w:eastAsia="Calibri" w:hAnsi="Arial" w:cs="Arial"/>
                <w:sz w:val="24"/>
                <w:szCs w:val="24"/>
              </w:rPr>
              <w:t>Aid for maritime por</w:t>
            </w:r>
            <w:r>
              <w:rPr>
                <w:rFonts w:ascii="Arial" w:eastAsia="Calibri" w:hAnsi="Arial" w:cs="Arial"/>
                <w:sz w:val="24"/>
                <w:szCs w:val="24"/>
              </w:rPr>
              <w:t>ts (A</w:t>
            </w:r>
            <w:r w:rsidRPr="001873BA">
              <w:rPr>
                <w:rFonts w:ascii="Arial" w:eastAsia="Calibri" w:hAnsi="Arial" w:cs="Arial"/>
                <w:sz w:val="24"/>
                <w:szCs w:val="24"/>
              </w:rPr>
              <w:t>rt. 56b)</w:t>
            </w:r>
          </w:p>
        </w:tc>
        <w:tc>
          <w:tcPr>
            <w:tcW w:w="2170" w:type="dxa"/>
          </w:tcPr>
          <w:p w:rsidR="00127C83" w:rsidRDefault="007B0CC7" w:rsidP="006A61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  <w:r w:rsidR="002C267B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37" w:type="dxa"/>
          </w:tcPr>
          <w:p w:rsidR="00127C83" w:rsidRDefault="00127C83" w:rsidP="006A61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7C83" w:rsidTr="007D3F57">
        <w:tc>
          <w:tcPr>
            <w:tcW w:w="4909" w:type="dxa"/>
          </w:tcPr>
          <w:p w:rsidR="00127C83" w:rsidRPr="00127C83" w:rsidRDefault="001873BA" w:rsidP="00BB728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873BA">
              <w:rPr>
                <w:rFonts w:ascii="Arial" w:eastAsia="Calibri" w:hAnsi="Arial" w:cs="Arial"/>
                <w:sz w:val="24"/>
                <w:szCs w:val="24"/>
              </w:rPr>
              <w:t>Aid for inland ports (Art. 56c)</w:t>
            </w:r>
          </w:p>
        </w:tc>
        <w:tc>
          <w:tcPr>
            <w:tcW w:w="2170" w:type="dxa"/>
          </w:tcPr>
          <w:p w:rsidR="00127C83" w:rsidRDefault="007B0CC7" w:rsidP="006A61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  <w:r w:rsidR="002C267B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37" w:type="dxa"/>
          </w:tcPr>
          <w:p w:rsidR="00127C83" w:rsidRDefault="00127C83" w:rsidP="006A61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26A57" w:rsidRDefault="00126A57" w:rsidP="00126A5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C2E36" w:rsidRPr="006C2428" w:rsidRDefault="003C2E36" w:rsidP="00616B4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Conditions</w:t>
      </w:r>
    </w:p>
    <w:p w:rsidR="003C2E36" w:rsidRDefault="003C2E36" w:rsidP="003C2E36">
      <w:pPr>
        <w:pStyle w:val="ListParagraph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C2E36" w:rsidRDefault="006D0F02" w:rsidP="003C2E36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</w:t>
      </w:r>
      <w:r w:rsidR="002365A7">
        <w:rPr>
          <w:rFonts w:ascii="Arial" w:eastAsia="Calibri" w:hAnsi="Arial" w:cs="Arial"/>
          <w:sz w:val="24"/>
          <w:szCs w:val="24"/>
        </w:rPr>
        <w:t xml:space="preserve">National Lottery Community </w:t>
      </w:r>
      <w:r>
        <w:rPr>
          <w:rFonts w:ascii="Arial" w:eastAsia="Calibri" w:hAnsi="Arial" w:cs="Arial"/>
          <w:sz w:val="24"/>
          <w:szCs w:val="24"/>
        </w:rPr>
        <w:t>Fund</w:t>
      </w:r>
      <w:r w:rsidR="003C2E36">
        <w:rPr>
          <w:rFonts w:ascii="Arial" w:eastAsia="Calibri" w:hAnsi="Arial" w:cs="Arial"/>
          <w:sz w:val="24"/>
          <w:szCs w:val="24"/>
        </w:rPr>
        <w:t xml:space="preserve"> reserves the right to add further conditions to any award made u</w:t>
      </w:r>
      <w:r w:rsidR="00616B40">
        <w:rPr>
          <w:rFonts w:ascii="Arial" w:eastAsia="Calibri" w:hAnsi="Arial" w:cs="Arial"/>
          <w:sz w:val="24"/>
          <w:szCs w:val="24"/>
        </w:rPr>
        <w:t>sing</w:t>
      </w:r>
      <w:r w:rsidR="003C2E36">
        <w:rPr>
          <w:rFonts w:ascii="Arial" w:eastAsia="Calibri" w:hAnsi="Arial" w:cs="Arial"/>
          <w:sz w:val="24"/>
          <w:szCs w:val="24"/>
        </w:rPr>
        <w:t xml:space="preserve"> this Scheme. </w:t>
      </w:r>
    </w:p>
    <w:p w:rsidR="008A08B8" w:rsidRDefault="008A08B8" w:rsidP="00126A5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B5D62" w:rsidRDefault="00FB5D62" w:rsidP="00126A5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B5D62" w:rsidRDefault="00FB5D62" w:rsidP="00126A5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B5D62" w:rsidRDefault="00FB5D62" w:rsidP="00126A5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C2E36" w:rsidRPr="006C2428" w:rsidRDefault="00616B40" w:rsidP="003C2E3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State Aid beneficiary commitments</w:t>
      </w:r>
    </w:p>
    <w:p w:rsidR="003C2E36" w:rsidRDefault="003C2E36" w:rsidP="003C2E36">
      <w:pPr>
        <w:pStyle w:val="ListParagraph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C2E36" w:rsidRDefault="00616B40" w:rsidP="009F0A57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Any organisation which receives State Aid cover under the Scheme agrees:</w:t>
      </w:r>
    </w:p>
    <w:p w:rsidR="00616B40" w:rsidRDefault="00616B40" w:rsidP="009F0A57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6B40" w:rsidRDefault="00616B40" w:rsidP="009F0A5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to use reasonable </w:t>
      </w:r>
      <w:proofErr w:type="gramStart"/>
      <w:r>
        <w:rPr>
          <w:rFonts w:ascii="Arial" w:eastAsia="Calibri" w:hAnsi="Arial" w:cs="Arial"/>
          <w:sz w:val="24"/>
          <w:szCs w:val="24"/>
        </w:rPr>
        <w:t>endeavours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assist </w:t>
      </w:r>
      <w:r w:rsidR="006D0F02">
        <w:rPr>
          <w:rFonts w:ascii="Arial" w:eastAsia="Calibri" w:hAnsi="Arial" w:cs="Arial"/>
          <w:sz w:val="24"/>
          <w:szCs w:val="24"/>
        </w:rPr>
        <w:t xml:space="preserve">the </w:t>
      </w:r>
      <w:r w:rsidR="002365A7">
        <w:rPr>
          <w:rFonts w:ascii="Arial" w:eastAsia="Calibri" w:hAnsi="Arial" w:cs="Arial"/>
          <w:sz w:val="24"/>
          <w:szCs w:val="24"/>
        </w:rPr>
        <w:t xml:space="preserve">National Lottery Community </w:t>
      </w:r>
      <w:r w:rsidR="006D0F02">
        <w:rPr>
          <w:rFonts w:ascii="Arial" w:eastAsia="Calibri" w:hAnsi="Arial" w:cs="Arial"/>
          <w:sz w:val="24"/>
          <w:szCs w:val="24"/>
        </w:rPr>
        <w:t>Fund</w:t>
      </w:r>
      <w:r>
        <w:rPr>
          <w:rFonts w:ascii="Arial" w:eastAsia="Calibri" w:hAnsi="Arial" w:cs="Arial"/>
          <w:sz w:val="24"/>
          <w:szCs w:val="24"/>
        </w:rPr>
        <w:t xml:space="preserve"> in the event of an investigation into the Scheme; and </w:t>
      </w:r>
    </w:p>
    <w:p w:rsidR="00616B40" w:rsidRDefault="00616B40" w:rsidP="009F0A57">
      <w:pPr>
        <w:pStyle w:val="ListParagraph"/>
        <w:spacing w:after="0" w:line="240" w:lineRule="auto"/>
        <w:ind w:left="1080"/>
        <w:rPr>
          <w:rFonts w:ascii="Arial" w:eastAsia="Calibri" w:hAnsi="Arial" w:cs="Arial"/>
          <w:sz w:val="24"/>
          <w:szCs w:val="24"/>
        </w:rPr>
      </w:pPr>
    </w:p>
    <w:p w:rsidR="00616B40" w:rsidRDefault="00616B40" w:rsidP="006D0F0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to undertake their own assessment of the funding to ensure that they meet the terms and conditions of </w:t>
      </w:r>
      <w:r w:rsidR="006D0F02">
        <w:rPr>
          <w:rFonts w:ascii="Arial" w:eastAsia="Calibri" w:hAnsi="Arial" w:cs="Arial"/>
          <w:sz w:val="24"/>
          <w:szCs w:val="24"/>
        </w:rPr>
        <w:t xml:space="preserve">the </w:t>
      </w:r>
      <w:r w:rsidR="006D0F02" w:rsidRPr="006D0F02">
        <w:rPr>
          <w:rFonts w:ascii="Arial" w:eastAsia="Calibri" w:hAnsi="Arial" w:cs="Arial"/>
          <w:sz w:val="24"/>
          <w:szCs w:val="24"/>
        </w:rPr>
        <w:t>relevant State Aid regulations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:rsidR="009F0A57" w:rsidRPr="009F0A57" w:rsidRDefault="009F0A57" w:rsidP="009F0A57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9F0A57" w:rsidRDefault="009F0A57" w:rsidP="009F0A57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ascii="Arial" w:eastAsia="Calibri" w:hAnsi="Arial" w:cs="Arial"/>
          <w:sz w:val="24"/>
          <w:szCs w:val="24"/>
        </w:rPr>
      </w:pPr>
      <w:r w:rsidRPr="00FB5D62">
        <w:rPr>
          <w:rFonts w:ascii="Arial" w:eastAsia="Calibri" w:hAnsi="Arial" w:cs="Arial"/>
          <w:sz w:val="24"/>
          <w:szCs w:val="24"/>
        </w:rPr>
        <w:t xml:space="preserve">This </w:t>
      </w:r>
      <w:r w:rsidR="00FB5D62">
        <w:rPr>
          <w:rFonts w:ascii="Arial" w:eastAsia="Calibri" w:hAnsi="Arial" w:cs="Arial"/>
          <w:sz w:val="24"/>
          <w:szCs w:val="24"/>
        </w:rPr>
        <w:t>S</w:t>
      </w:r>
      <w:r w:rsidRPr="00FB5D62">
        <w:rPr>
          <w:rFonts w:ascii="Arial" w:eastAsia="Calibri" w:hAnsi="Arial" w:cs="Arial"/>
          <w:sz w:val="24"/>
          <w:szCs w:val="24"/>
        </w:rPr>
        <w:t>cheme shall not assist an undertaking against which there is an outstanding recovery order for State aid received by it in the past.</w:t>
      </w:r>
    </w:p>
    <w:p w:rsidR="00FB5D62" w:rsidRPr="00FB5D62" w:rsidRDefault="00FB5D62" w:rsidP="00FB5D62">
      <w:pPr>
        <w:pStyle w:val="ListParagraph"/>
        <w:spacing w:after="0" w:line="240" w:lineRule="auto"/>
        <w:ind w:left="714"/>
        <w:contextualSpacing w:val="0"/>
        <w:rPr>
          <w:rFonts w:ascii="Arial" w:eastAsia="Calibri" w:hAnsi="Arial" w:cs="Arial"/>
          <w:sz w:val="24"/>
          <w:szCs w:val="24"/>
        </w:rPr>
      </w:pPr>
    </w:p>
    <w:p w:rsidR="00616B40" w:rsidRPr="00FB5D62" w:rsidRDefault="009F0A57" w:rsidP="00FB5D62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ascii="Arial" w:eastAsia="Calibri" w:hAnsi="Arial" w:cs="Arial"/>
          <w:sz w:val="24"/>
          <w:szCs w:val="24"/>
        </w:rPr>
      </w:pPr>
      <w:r w:rsidRPr="00FB5D62">
        <w:rPr>
          <w:rFonts w:ascii="Arial" w:eastAsia="Calibri" w:hAnsi="Arial" w:cs="Arial"/>
          <w:sz w:val="24"/>
          <w:szCs w:val="24"/>
        </w:rPr>
        <w:t xml:space="preserve">This </w:t>
      </w:r>
      <w:r w:rsidR="00FB5D62">
        <w:rPr>
          <w:rFonts w:ascii="Arial" w:eastAsia="Calibri" w:hAnsi="Arial" w:cs="Arial"/>
          <w:sz w:val="24"/>
          <w:szCs w:val="24"/>
        </w:rPr>
        <w:t>S</w:t>
      </w:r>
      <w:r w:rsidRPr="00FB5D62">
        <w:rPr>
          <w:rFonts w:ascii="Arial" w:eastAsia="Calibri" w:hAnsi="Arial" w:cs="Arial"/>
          <w:sz w:val="24"/>
          <w:szCs w:val="24"/>
        </w:rPr>
        <w:t>cheme shall not assist an undertaking in difficulty as defined in Article 2(18).</w:t>
      </w:r>
    </w:p>
    <w:p w:rsidR="008A08B8" w:rsidRPr="00BB728D" w:rsidRDefault="008A08B8" w:rsidP="00126A5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8A08B8" w:rsidRPr="00BB728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96A" w:rsidRDefault="00E3596A" w:rsidP="00193EC4">
      <w:pPr>
        <w:spacing w:after="0" w:line="240" w:lineRule="auto"/>
      </w:pPr>
      <w:r>
        <w:separator/>
      </w:r>
    </w:p>
  </w:endnote>
  <w:endnote w:type="continuationSeparator" w:id="0">
    <w:p w:rsidR="00E3596A" w:rsidRDefault="00E3596A" w:rsidP="0019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1733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5D62" w:rsidRDefault="00FB5D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3EC4" w:rsidRPr="00193EC4" w:rsidRDefault="00193EC4" w:rsidP="00193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96A" w:rsidRDefault="00E3596A" w:rsidP="00193EC4">
      <w:pPr>
        <w:spacing w:after="0" w:line="240" w:lineRule="auto"/>
      </w:pPr>
      <w:r>
        <w:separator/>
      </w:r>
    </w:p>
  </w:footnote>
  <w:footnote w:type="continuationSeparator" w:id="0">
    <w:p w:rsidR="00E3596A" w:rsidRDefault="00E3596A" w:rsidP="00193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030D"/>
    <w:multiLevelType w:val="hybridMultilevel"/>
    <w:tmpl w:val="A6441BEA"/>
    <w:lvl w:ilvl="0" w:tplc="C86A11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608A"/>
    <w:multiLevelType w:val="hybridMultilevel"/>
    <w:tmpl w:val="EC3C4114"/>
    <w:lvl w:ilvl="0" w:tplc="56C42C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35E63"/>
    <w:multiLevelType w:val="hybridMultilevel"/>
    <w:tmpl w:val="E1B8FCCA"/>
    <w:lvl w:ilvl="0" w:tplc="87E60D4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17"/>
    <w:multiLevelType w:val="hybridMultilevel"/>
    <w:tmpl w:val="32F426C0"/>
    <w:lvl w:ilvl="0" w:tplc="A63A6E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2F624F"/>
    <w:multiLevelType w:val="hybridMultilevel"/>
    <w:tmpl w:val="AAEA7CB6"/>
    <w:lvl w:ilvl="0" w:tplc="C13C9A72">
      <w:start w:val="1"/>
      <w:numFmt w:val="lowerLetter"/>
      <w:lvlText w:val="(%1)"/>
      <w:lvlJc w:val="left"/>
      <w:pPr>
        <w:ind w:left="768" w:hanging="4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8485C"/>
    <w:multiLevelType w:val="hybridMultilevel"/>
    <w:tmpl w:val="84504F8E"/>
    <w:lvl w:ilvl="0" w:tplc="C86A11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8D"/>
    <w:rsid w:val="000336F0"/>
    <w:rsid w:val="00090C58"/>
    <w:rsid w:val="00126A57"/>
    <w:rsid w:val="00127C83"/>
    <w:rsid w:val="0016571F"/>
    <w:rsid w:val="0016792C"/>
    <w:rsid w:val="001873BA"/>
    <w:rsid w:val="00193EC4"/>
    <w:rsid w:val="001D6087"/>
    <w:rsid w:val="00221D22"/>
    <w:rsid w:val="002365A7"/>
    <w:rsid w:val="00273E79"/>
    <w:rsid w:val="00281930"/>
    <w:rsid w:val="002C267B"/>
    <w:rsid w:val="002E1985"/>
    <w:rsid w:val="002E30BB"/>
    <w:rsid w:val="003B4216"/>
    <w:rsid w:val="003C2E36"/>
    <w:rsid w:val="003C3C32"/>
    <w:rsid w:val="004C4569"/>
    <w:rsid w:val="004D0E34"/>
    <w:rsid w:val="005137A7"/>
    <w:rsid w:val="00526F7D"/>
    <w:rsid w:val="00573778"/>
    <w:rsid w:val="00616B40"/>
    <w:rsid w:val="00644D2A"/>
    <w:rsid w:val="00677288"/>
    <w:rsid w:val="006772AD"/>
    <w:rsid w:val="006A6118"/>
    <w:rsid w:val="006C2428"/>
    <w:rsid w:val="006D0F02"/>
    <w:rsid w:val="006D53C3"/>
    <w:rsid w:val="006E6652"/>
    <w:rsid w:val="006F1F5D"/>
    <w:rsid w:val="00703E81"/>
    <w:rsid w:val="00765C0D"/>
    <w:rsid w:val="0077412F"/>
    <w:rsid w:val="007B0CC7"/>
    <w:rsid w:val="007D3F57"/>
    <w:rsid w:val="007E5CE8"/>
    <w:rsid w:val="007F03A8"/>
    <w:rsid w:val="00852652"/>
    <w:rsid w:val="008A08B8"/>
    <w:rsid w:val="008A6396"/>
    <w:rsid w:val="008F6BC3"/>
    <w:rsid w:val="009417DF"/>
    <w:rsid w:val="009634BF"/>
    <w:rsid w:val="00987A6E"/>
    <w:rsid w:val="009C15D4"/>
    <w:rsid w:val="009C2D23"/>
    <w:rsid w:val="009C6056"/>
    <w:rsid w:val="009E3267"/>
    <w:rsid w:val="009E5A96"/>
    <w:rsid w:val="009F0A57"/>
    <w:rsid w:val="00A26B86"/>
    <w:rsid w:val="00AF2A3A"/>
    <w:rsid w:val="00B03C82"/>
    <w:rsid w:val="00B12E24"/>
    <w:rsid w:val="00B451E7"/>
    <w:rsid w:val="00B7540C"/>
    <w:rsid w:val="00BB728D"/>
    <w:rsid w:val="00BF0A89"/>
    <w:rsid w:val="00C722D2"/>
    <w:rsid w:val="00C81AC5"/>
    <w:rsid w:val="00CF790B"/>
    <w:rsid w:val="00D46930"/>
    <w:rsid w:val="00D60340"/>
    <w:rsid w:val="00D91A05"/>
    <w:rsid w:val="00DA2979"/>
    <w:rsid w:val="00E3596A"/>
    <w:rsid w:val="00EB0149"/>
    <w:rsid w:val="00EC3E8F"/>
    <w:rsid w:val="00F354E1"/>
    <w:rsid w:val="00F6567F"/>
    <w:rsid w:val="00F97B61"/>
    <w:rsid w:val="00FB5D62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3AA4E5-8EF1-4450-A388-754C9E33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C0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77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C456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4569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193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EC4"/>
  </w:style>
  <w:style w:type="paragraph" w:styleId="Footer">
    <w:name w:val="footer"/>
    <w:basedOn w:val="Normal"/>
    <w:link w:val="FooterChar"/>
    <w:uiPriority w:val="99"/>
    <w:unhideWhenUsed/>
    <w:rsid w:val="00193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EC4"/>
  </w:style>
  <w:style w:type="paragraph" w:styleId="BalloonText">
    <w:name w:val="Balloon Text"/>
    <w:basedOn w:val="Normal"/>
    <w:link w:val="BalloonTextChar"/>
    <w:uiPriority w:val="99"/>
    <w:semiHidden/>
    <w:unhideWhenUsed/>
    <w:rsid w:val="00D46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3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D3F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A0001-5999-42BC-B0D0-0FF1A619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5061</Characters>
  <Application>Microsoft Office Word</Application>
  <DocSecurity>0</DocSecurity>
  <PresentationFormat/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Alexander Rose</dc:creator>
  <cp:keywords/>
  <dc:description/>
  <cp:lastModifiedBy>Nicolas Hogg</cp:lastModifiedBy>
  <cp:revision>2</cp:revision>
  <cp:lastPrinted>2018-07-24T15:44:00Z</cp:lastPrinted>
  <dcterms:created xsi:type="dcterms:W3CDTF">2020-03-18T08:39:00Z</dcterms:created>
  <dcterms:modified xsi:type="dcterms:W3CDTF">2020-03-18T08:39:00Z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FFooter">
    <vt:lpwstr>61720138-2</vt:lpwstr>
  </property>
</Properties>
</file>