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9B010" w14:textId="77777777" w:rsidR="004D183A" w:rsidRDefault="004D183A" w:rsidP="004D183A">
      <w:pPr>
        <w:spacing w:line="360" w:lineRule="auto"/>
        <w:rPr>
          <w:rFonts w:ascii="Arial" w:hAnsi="Arial" w:cs="Arial"/>
          <w:b/>
          <w:bCs/>
          <w:color w:val="333333"/>
          <w:sz w:val="20"/>
          <w:szCs w:val="20"/>
          <w:u w:val="single"/>
        </w:rPr>
      </w:pPr>
    </w:p>
    <w:p w14:paraId="09741581" w14:textId="77777777" w:rsidR="004D183A" w:rsidRDefault="004D183A" w:rsidP="004D183A">
      <w:pPr>
        <w:spacing w:line="360" w:lineRule="auto"/>
        <w:rPr>
          <w:rFonts w:ascii="Arial" w:hAnsi="Arial" w:cs="Arial"/>
          <w:b/>
          <w:bCs/>
          <w:color w:val="333333"/>
          <w:sz w:val="20"/>
          <w:szCs w:val="20"/>
          <w:u w:val="single"/>
        </w:rPr>
      </w:pPr>
    </w:p>
    <w:p w14:paraId="4569B879" w14:textId="77777777" w:rsidR="004D183A" w:rsidRDefault="004D183A" w:rsidP="004D183A">
      <w:pPr>
        <w:spacing w:line="360" w:lineRule="auto"/>
        <w:rPr>
          <w:rFonts w:ascii="Arial" w:hAnsi="Arial" w:cs="Arial"/>
          <w:b/>
          <w:bCs/>
          <w:color w:val="333333"/>
          <w:sz w:val="20"/>
          <w:szCs w:val="20"/>
          <w:u w:val="single"/>
        </w:rPr>
      </w:pPr>
    </w:p>
    <w:p w14:paraId="03D6E628" w14:textId="77777777" w:rsidR="004D183A" w:rsidRPr="0047181C" w:rsidRDefault="004D183A" w:rsidP="003B68F1">
      <w:pPr>
        <w:spacing w:line="360" w:lineRule="auto"/>
        <w:rPr>
          <w:rFonts w:ascii="Trebuchet MS" w:hAnsi="Trebuchet MS" w:cs="Arial"/>
          <w:b/>
          <w:bCs/>
          <w:color w:val="000000" w:themeColor="text1"/>
        </w:rPr>
      </w:pPr>
    </w:p>
    <w:p w14:paraId="66484B18" w14:textId="77777777" w:rsidR="004D183A" w:rsidRPr="0047181C" w:rsidRDefault="004D183A" w:rsidP="00ED3947">
      <w:pPr>
        <w:spacing w:line="360" w:lineRule="auto"/>
        <w:jc w:val="center"/>
        <w:rPr>
          <w:rFonts w:ascii="Trebuchet MS" w:hAnsi="Trebuchet MS" w:cs="Arial"/>
          <w:b/>
          <w:bCs/>
          <w:sz w:val="28"/>
          <w:szCs w:val="28"/>
        </w:rPr>
      </w:pPr>
      <w:bookmarkStart w:id="0" w:name="_Hlk14075842"/>
      <w:r w:rsidRPr="0047181C">
        <w:rPr>
          <w:rFonts w:ascii="Trebuchet MS" w:hAnsi="Trebuchet MS" w:cs="Arial"/>
          <w:b/>
          <w:bCs/>
          <w:sz w:val="28"/>
          <w:szCs w:val="28"/>
        </w:rPr>
        <w:t xml:space="preserve">Essential Update </w:t>
      </w:r>
      <w:r w:rsidR="00ED3947" w:rsidRPr="0047181C">
        <w:rPr>
          <w:rFonts w:ascii="Trebuchet MS" w:hAnsi="Trebuchet MS" w:cs="Arial"/>
          <w:b/>
          <w:bCs/>
          <w:sz w:val="28"/>
          <w:szCs w:val="28"/>
        </w:rPr>
        <w:t>September</w:t>
      </w:r>
      <w:r w:rsidRPr="0047181C">
        <w:rPr>
          <w:rFonts w:ascii="Trebuchet MS" w:hAnsi="Trebuchet MS" w:cs="Arial"/>
          <w:b/>
          <w:bCs/>
          <w:sz w:val="28"/>
          <w:szCs w:val="28"/>
        </w:rPr>
        <w:t xml:space="preserve"> 2019 –</w:t>
      </w:r>
      <w:r w:rsidR="00ED3947" w:rsidRPr="0047181C">
        <w:rPr>
          <w:rFonts w:ascii="Trebuchet MS" w:hAnsi="Trebuchet MS"/>
          <w:b/>
          <w:sz w:val="28"/>
          <w:szCs w:val="28"/>
        </w:rPr>
        <w:t xml:space="preserve"> </w:t>
      </w:r>
      <w:r w:rsidR="0047181C" w:rsidRPr="0047181C">
        <w:rPr>
          <w:rFonts w:ascii="Trebuchet MS" w:hAnsi="Trebuchet MS"/>
          <w:b/>
          <w:sz w:val="28"/>
          <w:szCs w:val="28"/>
        </w:rPr>
        <w:t xml:space="preserve">Grant closure guidance and </w:t>
      </w:r>
      <w:r w:rsidR="00983FC3">
        <w:rPr>
          <w:rFonts w:ascii="Trebuchet MS" w:hAnsi="Trebuchet MS"/>
          <w:b/>
          <w:sz w:val="28"/>
          <w:szCs w:val="28"/>
        </w:rPr>
        <w:t>a</w:t>
      </w:r>
      <w:r w:rsidR="00ED3947" w:rsidRPr="0047181C">
        <w:rPr>
          <w:rFonts w:ascii="Trebuchet MS" w:hAnsi="Trebuchet MS"/>
          <w:b/>
          <w:sz w:val="28"/>
          <w:szCs w:val="28"/>
        </w:rPr>
        <w:t>dditional direct staff costs methodology</w:t>
      </w:r>
    </w:p>
    <w:bookmarkEnd w:id="0"/>
    <w:p w14:paraId="7E75CB41" w14:textId="77777777" w:rsidR="0047181C" w:rsidRPr="0047181C" w:rsidRDefault="0047181C" w:rsidP="0047181C">
      <w:pPr>
        <w:rPr>
          <w:rFonts w:ascii="Trebuchet MS" w:hAnsi="Trebuchet MS"/>
          <w:b/>
          <w:bCs/>
        </w:rPr>
      </w:pPr>
    </w:p>
    <w:p w14:paraId="08038044" w14:textId="77777777" w:rsidR="0047181C" w:rsidRPr="0047181C" w:rsidRDefault="0047181C" w:rsidP="0047181C">
      <w:pPr>
        <w:rPr>
          <w:rFonts w:ascii="Trebuchet MS" w:hAnsi="Trebuchet MS"/>
          <w:b/>
          <w:bCs/>
          <w:color w:val="E6007E"/>
        </w:rPr>
      </w:pPr>
      <w:r w:rsidRPr="0047181C">
        <w:rPr>
          <w:rFonts w:ascii="Trebuchet MS" w:hAnsi="Trebuchet MS"/>
          <w:b/>
          <w:bCs/>
          <w:color w:val="E6007E"/>
        </w:rPr>
        <w:t>Grant closure guidance</w:t>
      </w:r>
    </w:p>
    <w:p w14:paraId="095C69BA" w14:textId="77777777" w:rsidR="0047181C" w:rsidRPr="0047181C" w:rsidRDefault="0047181C" w:rsidP="0047181C">
      <w:pPr>
        <w:spacing w:line="360" w:lineRule="auto"/>
        <w:rPr>
          <w:rFonts w:ascii="Trebuchet MS" w:hAnsi="Trebuchet MS"/>
          <w:b/>
          <w:bCs/>
          <w:color w:val="E6007E"/>
        </w:rPr>
      </w:pPr>
    </w:p>
    <w:p w14:paraId="3950C0D0" w14:textId="77777777" w:rsidR="0047181C" w:rsidRPr="0047181C" w:rsidRDefault="0047181C" w:rsidP="0047181C">
      <w:pPr>
        <w:spacing w:line="360" w:lineRule="auto"/>
        <w:rPr>
          <w:rFonts w:ascii="Trebuchet MS" w:hAnsi="Trebuchet MS"/>
        </w:rPr>
      </w:pPr>
      <w:r w:rsidRPr="0047181C">
        <w:rPr>
          <w:rFonts w:ascii="Trebuchet MS" w:hAnsi="Trebuchet MS"/>
        </w:rPr>
        <w:t xml:space="preserve">Our grant closure guidance is now available as </w:t>
      </w:r>
      <w:hyperlink r:id="rId7" w:history="1">
        <w:r w:rsidRPr="0047181C">
          <w:rPr>
            <w:rStyle w:val="Hyperlink"/>
            <w:rFonts w:ascii="Trebuchet MS" w:hAnsi="Trebuchet MS"/>
          </w:rPr>
          <w:t>Section 14 of the Guide to Delivering European Funding</w:t>
        </w:r>
      </w:hyperlink>
      <w:r w:rsidRPr="0047181C">
        <w:rPr>
          <w:rFonts w:ascii="Trebuchet MS" w:hAnsi="Trebuchet MS"/>
        </w:rPr>
        <w:t>. Please ensure that you familiarise yourself with this, even if your project is not closing in the immediate future.</w:t>
      </w:r>
    </w:p>
    <w:p w14:paraId="6A01C6E6" w14:textId="77777777" w:rsidR="0047181C" w:rsidRPr="0047181C" w:rsidRDefault="0047181C" w:rsidP="00ED3947">
      <w:pPr>
        <w:spacing w:line="360" w:lineRule="auto"/>
        <w:rPr>
          <w:rFonts w:ascii="Trebuchet MS" w:hAnsi="Trebuchet MS" w:cs="Arial"/>
          <w:b/>
          <w:color w:val="E6007E"/>
          <w:sz w:val="24"/>
          <w:szCs w:val="24"/>
        </w:rPr>
      </w:pPr>
    </w:p>
    <w:p w14:paraId="61384F80" w14:textId="77777777" w:rsidR="00ED3947" w:rsidRPr="0047181C" w:rsidRDefault="00ED3947" w:rsidP="00ED3947">
      <w:pPr>
        <w:spacing w:line="360" w:lineRule="auto"/>
        <w:rPr>
          <w:rFonts w:ascii="Trebuchet MS" w:hAnsi="Trebuchet MS" w:cs="Arial"/>
          <w:b/>
          <w:color w:val="E6007E"/>
          <w:sz w:val="24"/>
          <w:szCs w:val="24"/>
        </w:rPr>
      </w:pPr>
      <w:r w:rsidRPr="0047181C">
        <w:rPr>
          <w:rFonts w:ascii="Trebuchet MS" w:hAnsi="Trebuchet MS" w:cs="Arial"/>
          <w:b/>
          <w:color w:val="E6007E"/>
          <w:sz w:val="24"/>
          <w:szCs w:val="24"/>
        </w:rPr>
        <w:t xml:space="preserve">Introduction of additional </w:t>
      </w:r>
      <w:r w:rsidRPr="0047181C">
        <w:rPr>
          <w:rFonts w:ascii="Trebuchet MS" w:hAnsi="Trebuchet MS"/>
          <w:b/>
          <w:color w:val="E6007E"/>
          <w:sz w:val="24"/>
          <w:szCs w:val="24"/>
        </w:rPr>
        <w:t>direct staff costs methodology: Fixed percentage methodology</w:t>
      </w:r>
    </w:p>
    <w:p w14:paraId="484EDB8F" w14:textId="77777777" w:rsidR="00ED3947" w:rsidRPr="0047181C" w:rsidRDefault="00ED3947" w:rsidP="00ED3947">
      <w:pPr>
        <w:spacing w:line="360" w:lineRule="auto"/>
        <w:rPr>
          <w:rFonts w:ascii="Trebuchet MS" w:hAnsi="Trebuchet MS"/>
          <w:b/>
        </w:rPr>
      </w:pPr>
    </w:p>
    <w:p w14:paraId="1449D2AC" w14:textId="77777777" w:rsidR="00ED3947" w:rsidRPr="0047181C" w:rsidRDefault="00ED3947" w:rsidP="00ED3947">
      <w:pPr>
        <w:spacing w:line="360" w:lineRule="auto"/>
        <w:rPr>
          <w:rFonts w:ascii="Trebuchet MS" w:hAnsi="Trebuchet MS"/>
          <w:b/>
        </w:rPr>
      </w:pPr>
      <w:r w:rsidRPr="0047181C">
        <w:rPr>
          <w:rFonts w:ascii="Trebuchet MS" w:hAnsi="Trebuchet MS"/>
        </w:rPr>
        <w:t xml:space="preserve">On 22 July 2019 the MA issued </w:t>
      </w:r>
      <w:hyperlink r:id="rId8" w:history="1">
        <w:r w:rsidRPr="0047181C">
          <w:rPr>
            <w:rStyle w:val="Hyperlink"/>
            <w:rFonts w:ascii="Trebuchet MS" w:hAnsi="Trebuchet MS"/>
          </w:rPr>
          <w:t>Action Note 038/19</w:t>
        </w:r>
      </w:hyperlink>
      <w:r w:rsidRPr="0047181C">
        <w:rPr>
          <w:rFonts w:ascii="Trebuchet MS" w:hAnsi="Trebuchet MS"/>
        </w:rPr>
        <w:t xml:space="preserve"> which introduced an additional direct staff cost methodology resulting from European Commission regulation updates (Article 68a (para 5) of the EU Omnibus Regulations (PE-CONS 13/18)). This document sets out our approach for BBO projects to the introduction of the </w:t>
      </w:r>
      <w:r w:rsidRPr="0047181C">
        <w:rPr>
          <w:rFonts w:ascii="Trebuchet MS" w:hAnsi="Trebuchet MS"/>
          <w:b/>
        </w:rPr>
        <w:t>‘New ESF Direct Staff Cost Methodology 4’.</w:t>
      </w:r>
    </w:p>
    <w:p w14:paraId="6F23BC2A" w14:textId="77777777" w:rsidR="00ED3947" w:rsidRPr="0047181C" w:rsidRDefault="00ED3947" w:rsidP="00ED3947">
      <w:pPr>
        <w:spacing w:line="360" w:lineRule="auto"/>
        <w:rPr>
          <w:rFonts w:ascii="Trebuchet MS" w:hAnsi="Trebuchet MS"/>
          <w:b/>
        </w:rPr>
      </w:pPr>
    </w:p>
    <w:p w14:paraId="48F6937D"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The </w:t>
      </w:r>
      <w:r w:rsidRPr="0047181C">
        <w:rPr>
          <w:rFonts w:ascii="Trebuchet MS" w:hAnsi="Trebuchet MS"/>
          <w:b/>
        </w:rPr>
        <w:t xml:space="preserve">New ESF Direct Staff Cost Methodology </w:t>
      </w:r>
      <w:r w:rsidRPr="0047181C">
        <w:rPr>
          <w:rFonts w:ascii="Trebuchet MS" w:hAnsi="Trebuchet MS"/>
        </w:rPr>
        <w:t xml:space="preserve">provides an alternative to 1720 calculations for staff who work part of their time on BBO. However, it can only be used when an employee works a </w:t>
      </w:r>
      <w:r w:rsidRPr="0047181C">
        <w:rPr>
          <w:rFonts w:ascii="Trebuchet MS" w:hAnsi="Trebuchet MS"/>
          <w:b/>
        </w:rPr>
        <w:t>fixed amount of their time per month on BBO</w:t>
      </w:r>
      <w:r w:rsidRPr="0047181C">
        <w:rPr>
          <w:rFonts w:ascii="Trebuchet MS" w:hAnsi="Trebuchet MS"/>
        </w:rPr>
        <w:t xml:space="preserve">. For staff that fall into this category, it allows a </w:t>
      </w:r>
      <w:r w:rsidRPr="0047181C">
        <w:rPr>
          <w:rFonts w:ascii="Trebuchet MS" w:hAnsi="Trebuchet MS"/>
          <w:b/>
        </w:rPr>
        <w:t>percentage of their</w:t>
      </w:r>
      <w:r w:rsidRPr="0047181C">
        <w:rPr>
          <w:rFonts w:ascii="Trebuchet MS" w:hAnsi="Trebuchet MS"/>
        </w:rPr>
        <w:t xml:space="preserve"> </w:t>
      </w:r>
      <w:r w:rsidRPr="0047181C">
        <w:rPr>
          <w:rFonts w:ascii="Trebuchet MS" w:hAnsi="Trebuchet MS"/>
          <w:b/>
        </w:rPr>
        <w:t xml:space="preserve">actual gross employment cost </w:t>
      </w:r>
      <w:r w:rsidRPr="0047181C">
        <w:rPr>
          <w:rFonts w:ascii="Trebuchet MS" w:hAnsi="Trebuchet MS"/>
        </w:rPr>
        <w:t>for the month to be claimed. There is no obligation to have a separate working time registration system, i.e. a time sheet.</w:t>
      </w:r>
    </w:p>
    <w:p w14:paraId="3685028B" w14:textId="77777777" w:rsidR="00ED3947" w:rsidRPr="0047181C" w:rsidRDefault="00ED3947" w:rsidP="00ED3947">
      <w:pPr>
        <w:spacing w:line="360" w:lineRule="auto"/>
        <w:rPr>
          <w:rFonts w:ascii="Trebuchet MS" w:hAnsi="Trebuchet MS"/>
        </w:rPr>
      </w:pPr>
    </w:p>
    <w:p w14:paraId="27BF6A0F" w14:textId="77777777" w:rsidR="00ED3947" w:rsidRPr="0047181C" w:rsidRDefault="00ED3947" w:rsidP="00ED3947">
      <w:pPr>
        <w:spacing w:line="360" w:lineRule="auto"/>
        <w:rPr>
          <w:rFonts w:ascii="Trebuchet MS" w:hAnsi="Trebuchet MS"/>
        </w:rPr>
      </w:pPr>
      <w:r w:rsidRPr="0047181C">
        <w:rPr>
          <w:rFonts w:ascii="Trebuchet MS" w:hAnsi="Trebuchet MS"/>
        </w:rPr>
        <w:t>For example, if an individual works 50 per cent of their time every month on a BBO project, and their actual gross employment costs for a month are £1,500 then 50 per cent of this, £750, can be claimed.</w:t>
      </w:r>
    </w:p>
    <w:p w14:paraId="755499F0" w14:textId="77777777" w:rsidR="00ED3947" w:rsidRDefault="00ED3947" w:rsidP="00ED3947">
      <w:pPr>
        <w:spacing w:line="360" w:lineRule="auto"/>
        <w:rPr>
          <w:rFonts w:ascii="Trebuchet MS" w:hAnsi="Trebuchet MS"/>
        </w:rPr>
      </w:pPr>
    </w:p>
    <w:p w14:paraId="49A279E2" w14:textId="77777777" w:rsidR="00983FC3" w:rsidRDefault="00983FC3" w:rsidP="00ED3947">
      <w:pPr>
        <w:spacing w:line="360" w:lineRule="auto"/>
        <w:rPr>
          <w:rFonts w:ascii="Trebuchet MS" w:hAnsi="Trebuchet MS"/>
        </w:rPr>
      </w:pPr>
    </w:p>
    <w:p w14:paraId="792AA9F1" w14:textId="77777777" w:rsidR="00983FC3" w:rsidRDefault="00983FC3" w:rsidP="00ED3947">
      <w:pPr>
        <w:spacing w:line="360" w:lineRule="auto"/>
        <w:rPr>
          <w:rFonts w:ascii="Trebuchet MS" w:hAnsi="Trebuchet MS"/>
        </w:rPr>
      </w:pPr>
    </w:p>
    <w:p w14:paraId="74C67065" w14:textId="77777777" w:rsidR="00983FC3" w:rsidRDefault="00983FC3" w:rsidP="00ED3947">
      <w:pPr>
        <w:spacing w:line="360" w:lineRule="auto"/>
        <w:rPr>
          <w:rFonts w:ascii="Trebuchet MS" w:hAnsi="Trebuchet MS"/>
        </w:rPr>
      </w:pPr>
    </w:p>
    <w:p w14:paraId="7BD2B79E" w14:textId="77777777" w:rsidR="00983FC3" w:rsidRDefault="00983FC3" w:rsidP="00ED3947">
      <w:pPr>
        <w:spacing w:line="360" w:lineRule="auto"/>
        <w:rPr>
          <w:rFonts w:ascii="Trebuchet MS" w:hAnsi="Trebuchet MS"/>
        </w:rPr>
      </w:pPr>
    </w:p>
    <w:p w14:paraId="5DDB1C03" w14:textId="77777777" w:rsidR="00983FC3" w:rsidRDefault="00983FC3" w:rsidP="00ED3947">
      <w:pPr>
        <w:spacing w:line="360" w:lineRule="auto"/>
        <w:rPr>
          <w:rFonts w:ascii="Trebuchet MS" w:hAnsi="Trebuchet MS"/>
        </w:rPr>
      </w:pPr>
    </w:p>
    <w:p w14:paraId="39CE836B" w14:textId="77777777" w:rsidR="00983FC3" w:rsidRPr="0047181C" w:rsidRDefault="00983FC3" w:rsidP="00ED3947">
      <w:pPr>
        <w:spacing w:line="360" w:lineRule="auto"/>
        <w:rPr>
          <w:rFonts w:ascii="Trebuchet MS" w:hAnsi="Trebuchet MS"/>
        </w:rPr>
      </w:pPr>
    </w:p>
    <w:p w14:paraId="42948207"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Please note that </w:t>
      </w:r>
      <w:r w:rsidRPr="0047181C">
        <w:rPr>
          <w:rFonts w:ascii="Trebuchet MS" w:hAnsi="Trebuchet MS"/>
          <w:b/>
        </w:rPr>
        <w:t>employees whose hours per month on BBO vary must continue to use the 1720 hourly rate</w:t>
      </w:r>
      <w:r w:rsidRPr="0047181C">
        <w:rPr>
          <w:rFonts w:ascii="Trebuchet MS" w:hAnsi="Trebuchet MS"/>
        </w:rPr>
        <w:t>.</w:t>
      </w:r>
    </w:p>
    <w:p w14:paraId="564D1E6F" w14:textId="77777777" w:rsidR="00ED3947" w:rsidRPr="0047181C" w:rsidRDefault="00ED3947" w:rsidP="00ED3947">
      <w:pPr>
        <w:spacing w:line="360" w:lineRule="auto"/>
        <w:rPr>
          <w:rFonts w:ascii="Trebuchet MS" w:hAnsi="Trebuchet MS"/>
        </w:rPr>
      </w:pPr>
    </w:p>
    <w:p w14:paraId="679564A2" w14:textId="77777777" w:rsidR="00ED3947" w:rsidRPr="0047181C" w:rsidRDefault="00ED3947" w:rsidP="00ED3947">
      <w:pPr>
        <w:spacing w:line="360" w:lineRule="auto"/>
        <w:rPr>
          <w:rFonts w:ascii="Trebuchet MS" w:hAnsi="Trebuchet MS"/>
        </w:rPr>
      </w:pPr>
      <w:r w:rsidRPr="0047181C">
        <w:rPr>
          <w:rFonts w:ascii="Trebuchet MS" w:hAnsi="Trebuchet MS"/>
        </w:rPr>
        <w:t>The use of this methodology is optional - grant holders are not required to introduce it and can continue to use previously calculated hourly rates.</w:t>
      </w:r>
    </w:p>
    <w:p w14:paraId="694292A9" w14:textId="77777777" w:rsidR="00ED3947" w:rsidRPr="0047181C" w:rsidRDefault="00ED3947" w:rsidP="00ED3947">
      <w:pPr>
        <w:spacing w:line="360" w:lineRule="auto"/>
        <w:rPr>
          <w:rFonts w:ascii="Trebuchet MS" w:hAnsi="Trebuchet MS"/>
          <w:b/>
        </w:rPr>
      </w:pPr>
    </w:p>
    <w:p w14:paraId="3A01483E" w14:textId="77777777" w:rsidR="00ED3947" w:rsidRPr="0047181C" w:rsidRDefault="00ED3947" w:rsidP="00ED3947">
      <w:pPr>
        <w:spacing w:line="360" w:lineRule="auto"/>
        <w:rPr>
          <w:rFonts w:ascii="Trebuchet MS" w:hAnsi="Trebuchet MS"/>
          <w:b/>
        </w:rPr>
      </w:pPr>
      <w:r w:rsidRPr="0047181C">
        <w:rPr>
          <w:rFonts w:ascii="Trebuchet MS" w:hAnsi="Trebuchet MS"/>
          <w:b/>
        </w:rPr>
        <w:t xml:space="preserve">Process  </w:t>
      </w:r>
    </w:p>
    <w:p w14:paraId="5E3D4D1C"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We will be allowing the use of the fixed rate methodology to be included in claims from </w:t>
      </w:r>
      <w:r w:rsidRPr="0047181C">
        <w:rPr>
          <w:rFonts w:ascii="Trebuchet MS" w:hAnsi="Trebuchet MS"/>
          <w:b/>
          <w:bCs/>
        </w:rPr>
        <w:t xml:space="preserve">Q4 2019 </w:t>
      </w:r>
      <w:r w:rsidRPr="0047181C">
        <w:rPr>
          <w:rFonts w:ascii="Trebuchet MS" w:hAnsi="Trebuchet MS"/>
        </w:rPr>
        <w:t>onwards for salaries from October 2019. If you wish to introduce it into your project we must agree to the change.</w:t>
      </w:r>
    </w:p>
    <w:p w14:paraId="70C41C29" w14:textId="77777777" w:rsidR="00ED3947" w:rsidRPr="0047181C" w:rsidRDefault="00ED3947" w:rsidP="00ED3947">
      <w:pPr>
        <w:spacing w:line="360" w:lineRule="auto"/>
        <w:rPr>
          <w:rFonts w:ascii="Trebuchet MS" w:hAnsi="Trebuchet MS"/>
          <w:b/>
        </w:rPr>
      </w:pPr>
    </w:p>
    <w:p w14:paraId="2E794DCD" w14:textId="77777777" w:rsidR="00ED3947" w:rsidRPr="0047181C" w:rsidRDefault="00ED3947" w:rsidP="00ED3947">
      <w:pPr>
        <w:spacing w:line="360" w:lineRule="auto"/>
        <w:rPr>
          <w:rFonts w:ascii="Trebuchet MS" w:hAnsi="Trebuchet MS"/>
          <w:b/>
        </w:rPr>
      </w:pPr>
      <w:r w:rsidRPr="0047181C">
        <w:rPr>
          <w:rFonts w:ascii="Trebuchet MS" w:hAnsi="Trebuchet MS"/>
          <w:b/>
        </w:rPr>
        <w:t>Requesting to use new fixed percentage methodology</w:t>
      </w:r>
    </w:p>
    <w:p w14:paraId="7EAA8384"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You must initially discuss it with your funding officer and then complete an </w:t>
      </w:r>
      <w:r w:rsidRPr="0047181C">
        <w:rPr>
          <w:rFonts w:ascii="Trebuchet MS" w:hAnsi="Trebuchet MS"/>
          <w:b/>
        </w:rPr>
        <w:t>Annex D: Project change form</w:t>
      </w:r>
      <w:r w:rsidRPr="0047181C">
        <w:rPr>
          <w:rFonts w:ascii="Trebuchet MS" w:hAnsi="Trebuchet MS"/>
        </w:rPr>
        <w:t xml:space="preserve"> detailing: </w:t>
      </w:r>
    </w:p>
    <w:p w14:paraId="6E845B2F" w14:textId="77777777" w:rsidR="00ED3947" w:rsidRPr="0047181C" w:rsidRDefault="00ED3947" w:rsidP="00ED3947">
      <w:pPr>
        <w:spacing w:line="360" w:lineRule="auto"/>
        <w:rPr>
          <w:rFonts w:ascii="Trebuchet MS" w:hAnsi="Trebuchet MS"/>
        </w:rPr>
      </w:pPr>
    </w:p>
    <w:p w14:paraId="66AAFA35" w14:textId="77777777" w:rsidR="00ED3947" w:rsidRPr="0047181C" w:rsidRDefault="00ED3947" w:rsidP="00ED3947">
      <w:pPr>
        <w:pStyle w:val="ListParagraph"/>
        <w:numPr>
          <w:ilvl w:val="0"/>
          <w:numId w:val="6"/>
        </w:numPr>
        <w:spacing w:after="0" w:line="360" w:lineRule="auto"/>
        <w:ind w:left="0" w:firstLine="0"/>
        <w:rPr>
          <w:rFonts w:ascii="Trebuchet MS" w:hAnsi="Trebuchet MS"/>
        </w:rPr>
      </w:pPr>
      <w:r w:rsidRPr="0047181C">
        <w:rPr>
          <w:rFonts w:ascii="Trebuchet MS" w:hAnsi="Trebuchet MS"/>
        </w:rPr>
        <w:t>The staff members/roles involved</w:t>
      </w:r>
    </w:p>
    <w:p w14:paraId="484D9EE4" w14:textId="77777777" w:rsidR="00ED3947" w:rsidRPr="0047181C" w:rsidRDefault="00ED3947" w:rsidP="00ED3947">
      <w:pPr>
        <w:pStyle w:val="ListParagraph"/>
        <w:numPr>
          <w:ilvl w:val="0"/>
          <w:numId w:val="6"/>
        </w:numPr>
        <w:spacing w:after="0" w:line="360" w:lineRule="auto"/>
        <w:ind w:left="0" w:firstLine="0"/>
        <w:rPr>
          <w:rFonts w:ascii="Trebuchet MS" w:hAnsi="Trebuchet MS"/>
        </w:rPr>
      </w:pPr>
      <w:r w:rsidRPr="0047181C">
        <w:rPr>
          <w:rFonts w:ascii="Trebuchet MS" w:hAnsi="Trebuchet MS"/>
        </w:rPr>
        <w:t>Any budgetary implications (increased/decreased staff costs)</w:t>
      </w:r>
    </w:p>
    <w:p w14:paraId="64D57049" w14:textId="77777777" w:rsidR="00ED3947" w:rsidRPr="0047181C" w:rsidRDefault="00ED3947" w:rsidP="00ED3947">
      <w:pPr>
        <w:spacing w:line="360" w:lineRule="auto"/>
        <w:rPr>
          <w:rFonts w:ascii="Trebuchet MS" w:hAnsi="Trebuchet MS"/>
        </w:rPr>
      </w:pPr>
    </w:p>
    <w:p w14:paraId="6B418A17"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In line with our current approach to hourly rates, the funding officer will approve/reject the change, but will not review any calculations or letters as standard, unless it is selected for sampling. </w:t>
      </w:r>
    </w:p>
    <w:p w14:paraId="4C5B91EF"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If approved, you must update the project </w:t>
      </w:r>
      <w:r w:rsidRPr="0047181C">
        <w:rPr>
          <w:rFonts w:ascii="Trebuchet MS" w:hAnsi="Trebuchet MS"/>
          <w:b/>
        </w:rPr>
        <w:t>staff list</w:t>
      </w:r>
      <w:r w:rsidRPr="0047181C">
        <w:rPr>
          <w:rFonts w:ascii="Trebuchet MS" w:hAnsi="Trebuchet MS"/>
        </w:rPr>
        <w:t xml:space="preserve"> and submit this to your funding officer. This should specify how the direct cost of the employee is being claimed, i.e. full cost, hourly rate or fixed percentage.</w:t>
      </w:r>
    </w:p>
    <w:p w14:paraId="6FFA6825" w14:textId="77777777" w:rsidR="00ED3947" w:rsidRPr="0047181C" w:rsidRDefault="00ED3947" w:rsidP="00ED3947">
      <w:pPr>
        <w:spacing w:line="360" w:lineRule="auto"/>
        <w:rPr>
          <w:rFonts w:ascii="Trebuchet MS" w:hAnsi="Trebuchet MS"/>
        </w:rPr>
      </w:pPr>
    </w:p>
    <w:p w14:paraId="747A49FA" w14:textId="77777777" w:rsidR="00ED3947" w:rsidRPr="0047181C" w:rsidRDefault="00ED3947" w:rsidP="00ED3947">
      <w:pPr>
        <w:spacing w:line="360" w:lineRule="auto"/>
        <w:rPr>
          <w:rFonts w:ascii="Trebuchet MS" w:hAnsi="Trebuchet MS"/>
          <w:b/>
        </w:rPr>
      </w:pPr>
      <w:r w:rsidRPr="0047181C">
        <w:rPr>
          <w:rFonts w:ascii="Trebuchet MS" w:hAnsi="Trebuchet MS"/>
          <w:b/>
        </w:rPr>
        <w:t xml:space="preserve">Documentation </w:t>
      </w:r>
    </w:p>
    <w:p w14:paraId="1274E373" w14:textId="77777777" w:rsidR="00ED3947" w:rsidRPr="0047181C" w:rsidRDefault="00ED3947" w:rsidP="00ED3947">
      <w:pPr>
        <w:spacing w:line="360" w:lineRule="auto"/>
        <w:rPr>
          <w:rFonts w:ascii="Trebuchet MS" w:hAnsi="Trebuchet MS"/>
        </w:rPr>
      </w:pPr>
      <w:r w:rsidRPr="0047181C">
        <w:rPr>
          <w:rFonts w:ascii="Trebuchet MS" w:hAnsi="Trebuchet MS"/>
        </w:rPr>
        <w:t>You will need to ensure that there is contractual documentation in place that confirms the fixed percentage of time that the employee is working on the BBO project such as:</w:t>
      </w:r>
    </w:p>
    <w:p w14:paraId="29466E59" w14:textId="77777777" w:rsidR="00ED3947" w:rsidRPr="0047181C" w:rsidRDefault="00ED3947" w:rsidP="00ED3947">
      <w:pPr>
        <w:spacing w:line="360" w:lineRule="auto"/>
        <w:rPr>
          <w:rFonts w:ascii="Trebuchet MS" w:hAnsi="Trebuchet MS"/>
        </w:rPr>
      </w:pPr>
    </w:p>
    <w:p w14:paraId="0E040F52" w14:textId="77777777" w:rsidR="00ED3947" w:rsidRPr="0047181C" w:rsidRDefault="00ED3947" w:rsidP="00ED3947">
      <w:pPr>
        <w:pStyle w:val="ListParagraph"/>
        <w:numPr>
          <w:ilvl w:val="0"/>
          <w:numId w:val="7"/>
        </w:numPr>
        <w:spacing w:after="0" w:line="360" w:lineRule="auto"/>
        <w:ind w:left="0" w:firstLine="0"/>
        <w:rPr>
          <w:rFonts w:ascii="Trebuchet MS" w:hAnsi="Trebuchet MS"/>
        </w:rPr>
      </w:pPr>
      <w:r w:rsidRPr="0047181C">
        <w:rPr>
          <w:rFonts w:ascii="Trebuchet MS" w:hAnsi="Trebuchet MS"/>
        </w:rPr>
        <w:t xml:space="preserve">An HR </w:t>
      </w:r>
      <w:proofErr w:type="gramStart"/>
      <w:r w:rsidRPr="0047181C">
        <w:rPr>
          <w:rFonts w:ascii="Trebuchet MS" w:hAnsi="Trebuchet MS"/>
        </w:rPr>
        <w:t>letter</w:t>
      </w:r>
      <w:proofErr w:type="gramEnd"/>
    </w:p>
    <w:p w14:paraId="4CCC7F1A" w14:textId="77777777" w:rsidR="00ED3947" w:rsidRPr="0047181C" w:rsidRDefault="00ED3947" w:rsidP="00ED3947">
      <w:pPr>
        <w:pStyle w:val="ListParagraph"/>
        <w:numPr>
          <w:ilvl w:val="0"/>
          <w:numId w:val="7"/>
        </w:numPr>
        <w:spacing w:after="0" w:line="360" w:lineRule="auto"/>
        <w:ind w:left="0" w:firstLine="0"/>
        <w:rPr>
          <w:rFonts w:ascii="Trebuchet MS" w:hAnsi="Trebuchet MS"/>
        </w:rPr>
      </w:pPr>
      <w:r w:rsidRPr="0047181C">
        <w:rPr>
          <w:rFonts w:ascii="Trebuchet MS" w:hAnsi="Trebuchet MS"/>
        </w:rPr>
        <w:t>A job description</w:t>
      </w:r>
    </w:p>
    <w:p w14:paraId="5C34D8C4" w14:textId="77777777" w:rsidR="00ED3947" w:rsidRPr="0047181C" w:rsidRDefault="00ED3947" w:rsidP="00ED3947">
      <w:pPr>
        <w:pStyle w:val="ListParagraph"/>
        <w:numPr>
          <w:ilvl w:val="0"/>
          <w:numId w:val="7"/>
        </w:numPr>
        <w:spacing w:after="0" w:line="360" w:lineRule="auto"/>
        <w:ind w:left="0" w:firstLine="0"/>
        <w:rPr>
          <w:rFonts w:ascii="Trebuchet MS" w:hAnsi="Trebuchet MS"/>
        </w:rPr>
      </w:pPr>
      <w:r w:rsidRPr="0047181C">
        <w:rPr>
          <w:rFonts w:ascii="Trebuchet MS" w:hAnsi="Trebuchet MS"/>
        </w:rPr>
        <w:t xml:space="preserve">A contract of employment </w:t>
      </w:r>
    </w:p>
    <w:p w14:paraId="726CCC9D" w14:textId="77777777" w:rsidR="00ED3947" w:rsidRPr="0047181C" w:rsidRDefault="00ED3947" w:rsidP="00ED3947">
      <w:pPr>
        <w:pStyle w:val="ListParagraph"/>
        <w:numPr>
          <w:ilvl w:val="0"/>
          <w:numId w:val="7"/>
        </w:numPr>
        <w:spacing w:after="0" w:line="360" w:lineRule="auto"/>
        <w:ind w:left="0" w:firstLine="0"/>
        <w:rPr>
          <w:rFonts w:ascii="Trebuchet MS" w:hAnsi="Trebuchet MS"/>
        </w:rPr>
      </w:pPr>
      <w:r w:rsidRPr="0047181C">
        <w:rPr>
          <w:rFonts w:ascii="Trebuchet MS" w:hAnsi="Trebuchet MS"/>
        </w:rPr>
        <w:t>Another contractual document issued by the employer to the employee</w:t>
      </w:r>
    </w:p>
    <w:p w14:paraId="52F29513" w14:textId="77777777" w:rsidR="00ED3947" w:rsidRPr="0047181C" w:rsidRDefault="00ED3947" w:rsidP="00ED3947">
      <w:pPr>
        <w:pStyle w:val="ListParagraph"/>
        <w:spacing w:after="0" w:line="360" w:lineRule="auto"/>
        <w:ind w:left="0"/>
        <w:rPr>
          <w:rFonts w:ascii="Trebuchet MS" w:hAnsi="Trebuchet MS"/>
        </w:rPr>
      </w:pPr>
    </w:p>
    <w:p w14:paraId="3F4DE56D" w14:textId="77777777" w:rsidR="00983FC3" w:rsidRDefault="00983FC3" w:rsidP="00ED3947">
      <w:pPr>
        <w:spacing w:line="360" w:lineRule="auto"/>
        <w:rPr>
          <w:rFonts w:ascii="Trebuchet MS" w:hAnsi="Trebuchet MS"/>
        </w:rPr>
      </w:pPr>
    </w:p>
    <w:p w14:paraId="2A67532D" w14:textId="77777777" w:rsidR="00983FC3" w:rsidRDefault="00983FC3" w:rsidP="00ED3947">
      <w:pPr>
        <w:spacing w:line="360" w:lineRule="auto"/>
        <w:rPr>
          <w:rFonts w:ascii="Trebuchet MS" w:hAnsi="Trebuchet MS"/>
        </w:rPr>
      </w:pPr>
    </w:p>
    <w:p w14:paraId="58EEB140"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In addition to the requirements set out in </w:t>
      </w:r>
      <w:r w:rsidRPr="0047181C">
        <w:rPr>
          <w:rFonts w:ascii="Trebuchet MS" w:hAnsi="Trebuchet MS"/>
          <w:b/>
        </w:rPr>
        <w:t xml:space="preserve">section 8.1 </w:t>
      </w:r>
      <w:r w:rsidRPr="0047181C">
        <w:rPr>
          <w:rFonts w:ascii="Trebuchet MS" w:hAnsi="Trebuchet MS"/>
        </w:rPr>
        <w:t xml:space="preserve">of the </w:t>
      </w:r>
      <w:r w:rsidRPr="0047181C">
        <w:rPr>
          <w:rFonts w:ascii="Trebuchet MS" w:hAnsi="Trebuchet MS"/>
          <w:b/>
        </w:rPr>
        <w:t xml:space="preserve">Guide to Delivering European Funding </w:t>
      </w:r>
      <w:r w:rsidRPr="0047181C">
        <w:rPr>
          <w:rFonts w:ascii="Trebuchet MS" w:hAnsi="Trebuchet MS"/>
        </w:rPr>
        <w:t xml:space="preserve">this documentation must clearly show that the employee works part of their time on a BBO project funded by the European Social Fund and The National Lottery Community Fund; and </w:t>
      </w:r>
      <w:r w:rsidRPr="0047181C">
        <w:rPr>
          <w:rFonts w:ascii="Trebuchet MS" w:hAnsi="Trebuchet MS"/>
          <w:b/>
        </w:rPr>
        <w:t>set out the percentage of time each month they work on it</w:t>
      </w:r>
      <w:r w:rsidRPr="0047181C">
        <w:rPr>
          <w:rFonts w:ascii="Trebuchet MS" w:hAnsi="Trebuchet MS"/>
        </w:rPr>
        <w:t xml:space="preserve">.  </w:t>
      </w:r>
    </w:p>
    <w:p w14:paraId="5812BE2A" w14:textId="77777777" w:rsidR="00ED3947" w:rsidRPr="0047181C" w:rsidRDefault="00ED3947" w:rsidP="00ED3947">
      <w:pPr>
        <w:spacing w:line="360" w:lineRule="auto"/>
        <w:rPr>
          <w:rFonts w:ascii="Trebuchet MS" w:hAnsi="Trebuchet MS"/>
          <w:b/>
        </w:rPr>
      </w:pPr>
    </w:p>
    <w:p w14:paraId="621629E5" w14:textId="77777777" w:rsidR="00ED3947" w:rsidRPr="0047181C" w:rsidRDefault="00ED3947" w:rsidP="00ED3947">
      <w:pPr>
        <w:spacing w:line="360" w:lineRule="auto"/>
        <w:rPr>
          <w:rFonts w:ascii="Trebuchet MS" w:hAnsi="Trebuchet MS"/>
          <w:b/>
        </w:rPr>
      </w:pPr>
      <w:r w:rsidRPr="0047181C">
        <w:rPr>
          <w:rFonts w:ascii="Trebuchet MS" w:hAnsi="Trebuchet MS"/>
          <w:b/>
        </w:rPr>
        <w:t>Claims</w:t>
      </w:r>
    </w:p>
    <w:p w14:paraId="075231D4"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The percentage of the gross employment costs claimed will be the </w:t>
      </w:r>
      <w:r w:rsidRPr="0047181C">
        <w:rPr>
          <w:rFonts w:ascii="Trebuchet MS" w:hAnsi="Trebuchet MS"/>
          <w:b/>
          <w:bCs/>
        </w:rPr>
        <w:t>same every month and be based on the information provided in the contractual documentation</w:t>
      </w:r>
      <w:r w:rsidRPr="0047181C">
        <w:rPr>
          <w:rFonts w:ascii="Trebuchet MS" w:hAnsi="Trebuchet MS"/>
        </w:rPr>
        <w:t xml:space="preserve">. To change this percentage, you would need to submit a change request to your funding officer explaining the reasoning for doing so. </w:t>
      </w:r>
      <w:r w:rsidRPr="0047181C">
        <w:rPr>
          <w:rFonts w:ascii="Trebuchet MS" w:hAnsi="Trebuchet MS"/>
          <w:b/>
          <w:bCs/>
        </w:rPr>
        <w:t>It is not permitted for the percentage to vary month by month</w:t>
      </w:r>
      <w:r w:rsidRPr="0047181C">
        <w:rPr>
          <w:rFonts w:ascii="Trebuchet MS" w:hAnsi="Trebuchet MS"/>
        </w:rPr>
        <w:t>, otherwise the 1720 methodology must be used.</w:t>
      </w:r>
    </w:p>
    <w:p w14:paraId="774E3A40" w14:textId="77777777" w:rsidR="00ED3947" w:rsidRPr="0047181C" w:rsidRDefault="00ED3947" w:rsidP="00ED3947">
      <w:pPr>
        <w:spacing w:line="360" w:lineRule="auto"/>
        <w:rPr>
          <w:rFonts w:ascii="Trebuchet MS" w:hAnsi="Trebuchet MS"/>
        </w:rPr>
      </w:pPr>
    </w:p>
    <w:p w14:paraId="0F1D97D9" w14:textId="77777777" w:rsidR="00ED3947" w:rsidRPr="0047181C" w:rsidRDefault="00ED3947" w:rsidP="00ED3947">
      <w:pPr>
        <w:spacing w:line="360" w:lineRule="auto"/>
        <w:rPr>
          <w:rFonts w:ascii="Trebuchet MS" w:hAnsi="Trebuchet MS"/>
        </w:rPr>
      </w:pPr>
      <w:r w:rsidRPr="0047181C">
        <w:rPr>
          <w:rFonts w:ascii="Trebuchet MS" w:hAnsi="Trebuchet MS"/>
        </w:rPr>
        <w:t>If sampled, you will need to provide a copy of the contractual documentation, along with the payroll and any other supporting evidence needed to demonstrate the actual gross employment costs and defrayal. No timesheet is required.</w:t>
      </w:r>
    </w:p>
    <w:p w14:paraId="7D571733" w14:textId="77777777" w:rsidR="00ED3947" w:rsidRPr="0047181C" w:rsidRDefault="00ED3947" w:rsidP="00ED3947">
      <w:pPr>
        <w:spacing w:line="360" w:lineRule="auto"/>
        <w:rPr>
          <w:rFonts w:ascii="Trebuchet MS" w:hAnsi="Trebuchet MS"/>
        </w:rPr>
      </w:pPr>
    </w:p>
    <w:p w14:paraId="112208A6"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Please be aware, the </w:t>
      </w:r>
      <w:r w:rsidRPr="0047181C">
        <w:rPr>
          <w:rFonts w:ascii="Trebuchet MS" w:hAnsi="Trebuchet MS"/>
          <w:b/>
        </w:rPr>
        <w:t>Action Note 038/19</w:t>
      </w:r>
      <w:r w:rsidRPr="0047181C">
        <w:rPr>
          <w:rFonts w:ascii="Trebuchet MS" w:hAnsi="Trebuchet MS"/>
        </w:rPr>
        <w:t xml:space="preserve"> contains the statement “as the ‘Fixed Percentage’ methodology is a Simplified Cost Option, there is no requirement for defrayal evidence”. This relates to what is required by the MA and their Article 125 teams. The defrayal evidence for simplified cost options remain auditable and the Government Internal Audit Agency’s </w:t>
      </w:r>
      <w:r w:rsidRPr="0047181C">
        <w:rPr>
          <w:rFonts w:ascii="Trebuchet MS" w:hAnsi="Trebuchet MS"/>
          <w:b/>
          <w:bCs/>
        </w:rPr>
        <w:t>Article 127</w:t>
      </w:r>
      <w:r w:rsidRPr="0047181C">
        <w:rPr>
          <w:rFonts w:ascii="Trebuchet MS" w:hAnsi="Trebuchet MS"/>
        </w:rPr>
        <w:t xml:space="preserve"> team will want to see this information. </w:t>
      </w:r>
      <w:r w:rsidRPr="0047181C">
        <w:rPr>
          <w:rFonts w:ascii="Trebuchet MS" w:hAnsi="Trebuchet MS"/>
          <w:b/>
          <w:bCs/>
        </w:rPr>
        <w:t>Therefore, you must continue to collect the defrayal evidence for staff costs where the fixed percentage methodology is used</w:t>
      </w:r>
      <w:r w:rsidRPr="0047181C">
        <w:rPr>
          <w:rFonts w:ascii="Trebuchet MS" w:hAnsi="Trebuchet MS"/>
        </w:rPr>
        <w:t>. Your funding officer will ask to see this during their claim’s checks.</w:t>
      </w:r>
    </w:p>
    <w:p w14:paraId="61B28B5D" w14:textId="77777777" w:rsidR="00ED3947" w:rsidRPr="0047181C" w:rsidRDefault="00ED3947" w:rsidP="00ED3947">
      <w:pPr>
        <w:spacing w:line="360" w:lineRule="auto"/>
        <w:rPr>
          <w:rFonts w:ascii="Trebuchet MS" w:hAnsi="Trebuchet MS"/>
          <w:b/>
          <w:sz w:val="24"/>
          <w:szCs w:val="24"/>
        </w:rPr>
      </w:pPr>
    </w:p>
    <w:p w14:paraId="19995E6E" w14:textId="77777777" w:rsidR="00ED3947" w:rsidRPr="0047181C" w:rsidRDefault="00ED3947" w:rsidP="00ED3947">
      <w:pPr>
        <w:spacing w:line="360" w:lineRule="auto"/>
        <w:rPr>
          <w:rFonts w:ascii="Trebuchet MS" w:hAnsi="Trebuchet MS"/>
          <w:b/>
          <w:sz w:val="24"/>
          <w:szCs w:val="24"/>
        </w:rPr>
      </w:pPr>
      <w:r w:rsidRPr="0047181C">
        <w:rPr>
          <w:rFonts w:ascii="Trebuchet MS" w:hAnsi="Trebuchet MS"/>
          <w:b/>
          <w:sz w:val="24"/>
          <w:szCs w:val="24"/>
        </w:rPr>
        <w:t>Additional considerations</w:t>
      </w:r>
    </w:p>
    <w:p w14:paraId="2BC86E2A" w14:textId="77777777" w:rsidR="00876EFF" w:rsidRPr="0047181C" w:rsidRDefault="00876EFF" w:rsidP="00ED3947">
      <w:pPr>
        <w:spacing w:line="360" w:lineRule="auto"/>
        <w:rPr>
          <w:rFonts w:ascii="Trebuchet MS" w:hAnsi="Trebuchet MS"/>
          <w:b/>
        </w:rPr>
      </w:pPr>
    </w:p>
    <w:p w14:paraId="433710AF" w14:textId="77777777" w:rsidR="00ED3947" w:rsidRPr="0047181C" w:rsidRDefault="00ED3947" w:rsidP="00ED3947">
      <w:pPr>
        <w:spacing w:line="360" w:lineRule="auto"/>
        <w:rPr>
          <w:rFonts w:ascii="Trebuchet MS" w:hAnsi="Trebuchet MS"/>
          <w:b/>
        </w:rPr>
      </w:pPr>
      <w:r w:rsidRPr="0047181C">
        <w:rPr>
          <w:rFonts w:ascii="Trebuchet MS" w:hAnsi="Trebuchet MS"/>
          <w:b/>
        </w:rPr>
        <w:t>Overtime</w:t>
      </w:r>
    </w:p>
    <w:p w14:paraId="3287D1BB" w14:textId="77777777" w:rsidR="00ED3947" w:rsidRDefault="00ED3947" w:rsidP="00ED3947">
      <w:pPr>
        <w:spacing w:line="360" w:lineRule="auto"/>
        <w:rPr>
          <w:rFonts w:ascii="Trebuchet MS" w:hAnsi="Trebuchet MS"/>
        </w:rPr>
      </w:pPr>
      <w:r w:rsidRPr="0047181C">
        <w:rPr>
          <w:rFonts w:ascii="Trebuchet MS" w:hAnsi="Trebuchet MS"/>
        </w:rPr>
        <w:t>If a staff member works overtime which does not affect the percentage of their time spent working on BBO, the fixed rate can still be applied. As the percentage of time spent working on ESF that month is consistent, the project can claim whatever the fixed percentage is of the gross monthly staff costs for that month. Please remember this has the potential to increase your staff cost, even if overtime costs are not for BBO work.</w:t>
      </w:r>
    </w:p>
    <w:p w14:paraId="1F85C9B4" w14:textId="77777777" w:rsidR="00983FC3" w:rsidRDefault="00983FC3" w:rsidP="00ED3947">
      <w:pPr>
        <w:spacing w:line="360" w:lineRule="auto"/>
        <w:rPr>
          <w:rFonts w:ascii="Trebuchet MS" w:hAnsi="Trebuchet MS"/>
        </w:rPr>
      </w:pPr>
    </w:p>
    <w:p w14:paraId="6A97BEE7" w14:textId="77777777" w:rsidR="00983FC3" w:rsidRPr="0047181C" w:rsidRDefault="00983FC3" w:rsidP="00ED3947">
      <w:pPr>
        <w:spacing w:line="360" w:lineRule="auto"/>
        <w:rPr>
          <w:rFonts w:ascii="Trebuchet MS" w:hAnsi="Trebuchet MS"/>
        </w:rPr>
      </w:pPr>
    </w:p>
    <w:p w14:paraId="5A838CD1" w14:textId="77777777" w:rsidR="00876EFF" w:rsidRPr="0047181C" w:rsidRDefault="00876EFF" w:rsidP="00ED3947">
      <w:pPr>
        <w:spacing w:line="360" w:lineRule="auto"/>
        <w:rPr>
          <w:rFonts w:ascii="Trebuchet MS" w:hAnsi="Trebuchet MS"/>
        </w:rPr>
      </w:pPr>
    </w:p>
    <w:p w14:paraId="03BE1328" w14:textId="77777777" w:rsidR="00ED3947" w:rsidRPr="0047181C" w:rsidRDefault="00ED3947" w:rsidP="00ED3947">
      <w:pPr>
        <w:spacing w:line="360" w:lineRule="auto"/>
        <w:rPr>
          <w:rFonts w:ascii="Trebuchet MS" w:hAnsi="Trebuchet MS"/>
        </w:rPr>
      </w:pPr>
      <w:r w:rsidRPr="0047181C">
        <w:rPr>
          <w:rFonts w:ascii="Trebuchet MS" w:hAnsi="Trebuchet MS"/>
        </w:rPr>
        <w:t>If overtime causes fluctuations in the proportion of time an employee spends on BBO the fixed percentage methodology cannot be used as it is against the principles of the methodology. Regular overtime may be a flag to suggest that someone is not working a fixed percentage of their time on a project and that 1720 hourly rate may be the correct option for them.</w:t>
      </w:r>
    </w:p>
    <w:p w14:paraId="2DF1A838" w14:textId="77777777" w:rsidR="00876EFF" w:rsidRPr="0047181C" w:rsidRDefault="00876EFF" w:rsidP="00ED3947">
      <w:pPr>
        <w:spacing w:line="360" w:lineRule="auto"/>
        <w:rPr>
          <w:rFonts w:ascii="Trebuchet MS" w:hAnsi="Trebuchet MS"/>
        </w:rPr>
      </w:pPr>
    </w:p>
    <w:p w14:paraId="2ACF3926" w14:textId="77777777" w:rsidR="00ED3947" w:rsidRPr="0047181C" w:rsidRDefault="00ED3947" w:rsidP="00ED3947">
      <w:pPr>
        <w:spacing w:line="360" w:lineRule="auto"/>
        <w:rPr>
          <w:rFonts w:ascii="Trebuchet MS" w:hAnsi="Trebuchet MS"/>
          <w:b/>
        </w:rPr>
      </w:pPr>
      <w:r w:rsidRPr="0047181C">
        <w:rPr>
          <w:rFonts w:ascii="Trebuchet MS" w:hAnsi="Trebuchet MS"/>
          <w:b/>
        </w:rPr>
        <w:t>Alternative working patterns</w:t>
      </w:r>
    </w:p>
    <w:p w14:paraId="6AD0213F" w14:textId="77777777" w:rsidR="00ED3947" w:rsidRPr="0047181C" w:rsidRDefault="00ED3947" w:rsidP="00ED3947">
      <w:pPr>
        <w:spacing w:line="360" w:lineRule="auto"/>
        <w:rPr>
          <w:rFonts w:ascii="Trebuchet MS" w:hAnsi="Trebuchet MS"/>
        </w:rPr>
      </w:pPr>
      <w:r w:rsidRPr="0047181C">
        <w:rPr>
          <w:rFonts w:ascii="Trebuchet MS" w:hAnsi="Trebuchet MS"/>
        </w:rPr>
        <w:t>The fixed percentage methodology will only work where an individual is employed with regular hours (full or part-time) and a single rate of pay. It therefore cannot be used to claim direct staff costs for individuals employed on contracts such as zero or minimum hours or have multiple rates of pay.</w:t>
      </w:r>
    </w:p>
    <w:p w14:paraId="4D9861CD" w14:textId="77777777" w:rsidR="00876EFF" w:rsidRPr="0047181C" w:rsidRDefault="00876EFF" w:rsidP="00ED3947">
      <w:pPr>
        <w:spacing w:line="360" w:lineRule="auto"/>
        <w:rPr>
          <w:rFonts w:ascii="Trebuchet MS" w:hAnsi="Trebuchet MS"/>
        </w:rPr>
      </w:pPr>
    </w:p>
    <w:p w14:paraId="69ECCF4F" w14:textId="77777777" w:rsidR="00ED3947" w:rsidRPr="0047181C" w:rsidRDefault="00ED3947" w:rsidP="00ED3947">
      <w:pPr>
        <w:spacing w:line="360" w:lineRule="auto"/>
        <w:rPr>
          <w:rFonts w:ascii="Trebuchet MS" w:hAnsi="Trebuchet MS"/>
        </w:rPr>
      </w:pPr>
      <w:r w:rsidRPr="0047181C">
        <w:rPr>
          <w:rFonts w:ascii="Trebuchet MS" w:hAnsi="Trebuchet MS"/>
        </w:rPr>
        <w:t>If an employee has more than one contract with an organisation, assuming their hours for each are fixed and they are on the same rate of pay for each, the fixed percentage methodology can be used.</w:t>
      </w:r>
    </w:p>
    <w:p w14:paraId="3CDA01BC"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 We cannot accept any apportioning of salaries or on costs such as employers’ national insurance or pension other than where fixed percentage methodology has been approved.  </w:t>
      </w:r>
    </w:p>
    <w:p w14:paraId="128162B0" w14:textId="77777777" w:rsidR="00876EFF" w:rsidRPr="0047181C" w:rsidRDefault="00876EFF" w:rsidP="00ED3947">
      <w:pPr>
        <w:spacing w:line="360" w:lineRule="auto"/>
        <w:rPr>
          <w:rFonts w:ascii="Trebuchet MS" w:hAnsi="Trebuchet MS"/>
        </w:rPr>
      </w:pPr>
    </w:p>
    <w:p w14:paraId="08B3C82B" w14:textId="77777777" w:rsidR="00ED3947" w:rsidRPr="0047181C" w:rsidRDefault="00ED3947" w:rsidP="00ED3947">
      <w:pPr>
        <w:spacing w:line="360" w:lineRule="auto"/>
        <w:rPr>
          <w:rFonts w:ascii="Trebuchet MS" w:hAnsi="Trebuchet MS"/>
          <w:b/>
        </w:rPr>
      </w:pPr>
      <w:r w:rsidRPr="0047181C">
        <w:rPr>
          <w:rFonts w:ascii="Trebuchet MS" w:hAnsi="Trebuchet MS"/>
          <w:b/>
        </w:rPr>
        <w:t>People working on more than one BBO/ESF programme</w:t>
      </w:r>
    </w:p>
    <w:p w14:paraId="7412BF02" w14:textId="77777777" w:rsidR="00ED3947" w:rsidRPr="0047181C" w:rsidRDefault="00ED3947" w:rsidP="00ED3947">
      <w:pPr>
        <w:spacing w:line="360" w:lineRule="auto"/>
        <w:rPr>
          <w:rFonts w:ascii="Trebuchet MS" w:hAnsi="Trebuchet MS"/>
        </w:rPr>
      </w:pPr>
      <w:r w:rsidRPr="0047181C">
        <w:rPr>
          <w:rFonts w:ascii="Trebuchet MS" w:hAnsi="Trebuchet MS"/>
        </w:rPr>
        <w:t>If an employee is working on more than one ESF project (this may be BBO or other ESF streams) the contractual documentation must set out the amount of time the individual will set out on each project per month to ensure that the combined time does not exceed 100 per cent of their contracted hours.</w:t>
      </w:r>
    </w:p>
    <w:p w14:paraId="0E36A212" w14:textId="77777777" w:rsidR="00876EFF" w:rsidRPr="0047181C" w:rsidRDefault="00876EFF" w:rsidP="00ED3947">
      <w:pPr>
        <w:spacing w:line="360" w:lineRule="auto"/>
        <w:rPr>
          <w:rFonts w:ascii="Trebuchet MS" w:hAnsi="Trebuchet MS"/>
        </w:rPr>
      </w:pPr>
    </w:p>
    <w:p w14:paraId="60F44735" w14:textId="77777777" w:rsidR="00ED3947" w:rsidRPr="0047181C" w:rsidRDefault="00ED3947" w:rsidP="00ED3947">
      <w:pPr>
        <w:spacing w:line="360" w:lineRule="auto"/>
        <w:rPr>
          <w:rFonts w:ascii="Trebuchet MS" w:hAnsi="Trebuchet MS"/>
        </w:rPr>
      </w:pPr>
      <w:r w:rsidRPr="0047181C">
        <w:rPr>
          <w:rFonts w:ascii="Trebuchet MS" w:hAnsi="Trebuchet MS"/>
        </w:rPr>
        <w:t xml:space="preserve">To date we have advised that staff who work over more than one BBO project but spend 100 per cent of their time on BBO, to complete a time sheet to support the apportionment of their salary.  </w:t>
      </w:r>
      <w:r w:rsidRPr="00983FC3">
        <w:rPr>
          <w:rFonts w:ascii="Trebuchet MS" w:hAnsi="Trebuchet MS"/>
          <w:iCs/>
        </w:rPr>
        <w:t>If</w:t>
      </w:r>
      <w:r w:rsidRPr="0047181C">
        <w:rPr>
          <w:rFonts w:ascii="Trebuchet MS" w:hAnsi="Trebuchet MS"/>
        </w:rPr>
        <w:t xml:space="preserve">, the individual works a fixed amount of time on each project </w:t>
      </w:r>
      <w:r w:rsidRPr="00983FC3">
        <w:rPr>
          <w:rFonts w:ascii="Trebuchet MS" w:hAnsi="Trebuchet MS"/>
          <w:iCs/>
        </w:rPr>
        <w:t>and</w:t>
      </w:r>
      <w:r w:rsidRPr="00983FC3">
        <w:rPr>
          <w:rFonts w:ascii="Trebuchet MS" w:hAnsi="Trebuchet MS"/>
        </w:rPr>
        <w:t xml:space="preserve"> </w:t>
      </w:r>
      <w:r w:rsidRPr="0047181C">
        <w:rPr>
          <w:rFonts w:ascii="Trebuchet MS" w:hAnsi="Trebuchet MS"/>
        </w:rPr>
        <w:t>has the documentation as set out above, a time sheet will no longer be required but you will still need to formally apply for changes using an Annex D.</w:t>
      </w:r>
    </w:p>
    <w:p w14:paraId="165C9EB6" w14:textId="77777777" w:rsidR="00ED3947" w:rsidRPr="0047181C" w:rsidRDefault="00ED3947" w:rsidP="00ED3947">
      <w:pPr>
        <w:spacing w:line="360" w:lineRule="auto"/>
        <w:rPr>
          <w:rFonts w:ascii="Trebuchet MS" w:hAnsi="Trebuchet MS"/>
          <w:highlight w:val="yellow"/>
        </w:rPr>
      </w:pPr>
    </w:p>
    <w:p w14:paraId="7A417984" w14:textId="77777777" w:rsidR="00ED3947" w:rsidRPr="0047181C" w:rsidRDefault="00ED3947" w:rsidP="00ED3947">
      <w:pPr>
        <w:spacing w:line="360" w:lineRule="auto"/>
        <w:rPr>
          <w:rFonts w:ascii="Trebuchet MS" w:hAnsi="Trebuchet MS"/>
        </w:rPr>
      </w:pPr>
      <w:r w:rsidRPr="0047181C">
        <w:rPr>
          <w:rFonts w:ascii="Trebuchet MS" w:hAnsi="Trebuchet MS"/>
        </w:rPr>
        <w:t>We cannot cover all employment scenarios within this guidance, if you have any specific queries please speak to your funding officer.</w:t>
      </w:r>
    </w:p>
    <w:p w14:paraId="3CDFAF25" w14:textId="77777777" w:rsidR="003B68F1" w:rsidRPr="003B68F1" w:rsidRDefault="003B68F1" w:rsidP="00ED3947">
      <w:pPr>
        <w:spacing w:line="360" w:lineRule="auto"/>
        <w:rPr>
          <w:rFonts w:ascii="Arial" w:hAnsi="Arial" w:cs="Arial"/>
          <w:color w:val="000000" w:themeColor="text1"/>
        </w:rPr>
      </w:pPr>
    </w:p>
    <w:sectPr w:rsidR="003B68F1" w:rsidRPr="003B68F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6750" w14:textId="77777777" w:rsidR="001C4737" w:rsidRDefault="001C4737" w:rsidP="004D183A">
      <w:r>
        <w:separator/>
      </w:r>
    </w:p>
  </w:endnote>
  <w:endnote w:type="continuationSeparator" w:id="0">
    <w:p w14:paraId="187B47AE" w14:textId="77777777" w:rsidR="001C4737" w:rsidRDefault="001C4737"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F162" w14:textId="77777777" w:rsidR="001C4737" w:rsidRDefault="001C4737" w:rsidP="004D183A">
      <w:r>
        <w:separator/>
      </w:r>
    </w:p>
  </w:footnote>
  <w:footnote w:type="continuationSeparator" w:id="0">
    <w:p w14:paraId="318C979D" w14:textId="77777777" w:rsidR="001C4737" w:rsidRDefault="001C4737"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E4D1"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490C8D8B" wp14:editId="019EF354">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4737"/>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0521"/>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190B"/>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D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20361/038-19_SCO_Staff_Costs_Action_Note.pdf" TargetMode="External"/><Relationship Id="rId3" Type="http://schemas.openxmlformats.org/officeDocument/2006/relationships/settings" Target="settings.xml"/><Relationship Id="rId7" Type="http://schemas.openxmlformats.org/officeDocument/2006/relationships/hyperlink" Target="https://www.tnlcommunityfund.org.uk/media/documents/building-better-opportunities/guidance/section14/Grant-Closure-v1.pdf?mtime=20190823133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2021-12-14T13:42:00Z</dcterms:created>
  <dcterms:modified xsi:type="dcterms:W3CDTF">2021-12-14T13:42:00Z</dcterms:modified>
</cp:coreProperties>
</file>