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83A" w:rsidRDefault="004D183A" w:rsidP="004D183A">
      <w:pPr>
        <w:spacing w:line="360" w:lineRule="auto"/>
        <w:rPr>
          <w:rFonts w:ascii="Arial" w:hAnsi="Arial" w:cs="Arial"/>
          <w:b/>
          <w:bCs/>
          <w:color w:val="333333"/>
          <w:sz w:val="20"/>
          <w:szCs w:val="20"/>
          <w:u w:val="single"/>
        </w:rPr>
      </w:pPr>
      <w:bookmarkStart w:id="0" w:name="_GoBack"/>
      <w:bookmarkEnd w:id="0"/>
    </w:p>
    <w:p w:rsidR="004D183A" w:rsidRDefault="004D183A" w:rsidP="004D183A">
      <w:pPr>
        <w:spacing w:line="360" w:lineRule="auto"/>
        <w:rPr>
          <w:rFonts w:ascii="Arial" w:hAnsi="Arial" w:cs="Arial"/>
          <w:b/>
          <w:bCs/>
          <w:color w:val="333333"/>
          <w:sz w:val="20"/>
          <w:szCs w:val="20"/>
          <w:u w:val="single"/>
        </w:rPr>
      </w:pPr>
    </w:p>
    <w:p w:rsidR="004D183A" w:rsidRDefault="004D183A" w:rsidP="004D183A">
      <w:pPr>
        <w:spacing w:line="360" w:lineRule="auto"/>
        <w:rPr>
          <w:rFonts w:ascii="Arial" w:hAnsi="Arial" w:cs="Arial"/>
          <w:b/>
          <w:bCs/>
          <w:color w:val="333333"/>
          <w:sz w:val="20"/>
          <w:szCs w:val="20"/>
          <w:u w:val="single"/>
        </w:rPr>
      </w:pPr>
    </w:p>
    <w:p w:rsidR="004D183A" w:rsidRPr="0047181C" w:rsidRDefault="004D183A" w:rsidP="003B68F1">
      <w:pPr>
        <w:spacing w:line="360" w:lineRule="auto"/>
        <w:rPr>
          <w:rFonts w:ascii="Trebuchet MS" w:hAnsi="Trebuchet MS" w:cs="Arial"/>
          <w:b/>
          <w:bCs/>
          <w:color w:val="000000" w:themeColor="text1"/>
        </w:rPr>
      </w:pPr>
    </w:p>
    <w:p w:rsidR="00AD289F" w:rsidRDefault="00AD289F" w:rsidP="00AD289F">
      <w:pPr>
        <w:jc w:val="center"/>
        <w:rPr>
          <w:rFonts w:ascii="Trebuchet MS" w:hAnsi="Trebuchet MS"/>
          <w:b/>
          <w:bCs/>
          <w:color w:val="44546A"/>
          <w:sz w:val="28"/>
          <w:szCs w:val="28"/>
        </w:rPr>
      </w:pPr>
      <w:r>
        <w:rPr>
          <w:rFonts w:ascii="Trebuchet MS" w:hAnsi="Trebuchet MS"/>
          <w:b/>
          <w:bCs/>
          <w:color w:val="44546A"/>
          <w:sz w:val="28"/>
          <w:szCs w:val="28"/>
        </w:rPr>
        <w:t xml:space="preserve">Essential Update </w:t>
      </w:r>
      <w:r w:rsidR="005A26E7">
        <w:rPr>
          <w:rFonts w:ascii="Trebuchet MS" w:hAnsi="Trebuchet MS"/>
          <w:b/>
          <w:bCs/>
          <w:color w:val="44546A"/>
          <w:sz w:val="28"/>
          <w:szCs w:val="28"/>
        </w:rPr>
        <w:t>February</w:t>
      </w:r>
      <w:r>
        <w:rPr>
          <w:rFonts w:ascii="Trebuchet MS" w:hAnsi="Trebuchet MS"/>
          <w:b/>
          <w:bCs/>
          <w:color w:val="44546A"/>
          <w:sz w:val="28"/>
          <w:szCs w:val="28"/>
        </w:rPr>
        <w:t xml:space="preserve"> 20</w:t>
      </w:r>
      <w:r w:rsidR="005A26E7">
        <w:rPr>
          <w:rFonts w:ascii="Trebuchet MS" w:hAnsi="Trebuchet MS"/>
          <w:b/>
          <w:bCs/>
          <w:color w:val="44546A"/>
          <w:sz w:val="28"/>
          <w:szCs w:val="28"/>
        </w:rPr>
        <w:t xml:space="preserve">20 </w:t>
      </w:r>
      <w:r>
        <w:rPr>
          <w:rFonts w:ascii="Trebuchet MS" w:hAnsi="Trebuchet MS"/>
          <w:b/>
          <w:bCs/>
          <w:color w:val="44546A"/>
          <w:sz w:val="28"/>
          <w:szCs w:val="28"/>
        </w:rPr>
        <w:t>–</w:t>
      </w:r>
      <w:r w:rsidR="008B7C30">
        <w:rPr>
          <w:rFonts w:ascii="Trebuchet MS" w:hAnsi="Trebuchet MS"/>
          <w:b/>
          <w:bCs/>
          <w:color w:val="44546A"/>
          <w:sz w:val="28"/>
          <w:szCs w:val="28"/>
        </w:rPr>
        <w:t xml:space="preserve"> </w:t>
      </w:r>
      <w:bookmarkStart w:id="1" w:name="_Hlk14075684"/>
      <w:r w:rsidR="005A26E7">
        <w:rPr>
          <w:rFonts w:ascii="Trebuchet MS" w:hAnsi="Trebuchet MS"/>
          <w:b/>
          <w:bCs/>
          <w:color w:val="44546A"/>
          <w:sz w:val="28"/>
          <w:szCs w:val="28"/>
        </w:rPr>
        <w:t>Guide to Delivering European Funding Section 11: Evidence and Retention</w:t>
      </w:r>
    </w:p>
    <w:p w:rsidR="00AD289F" w:rsidRDefault="00AD289F" w:rsidP="00AD289F">
      <w:pPr>
        <w:rPr>
          <w:rFonts w:ascii="Trebuchet MS" w:hAnsi="Trebuchet MS"/>
          <w:b/>
          <w:bCs/>
          <w:color w:val="E6007E"/>
          <w:sz w:val="28"/>
          <w:szCs w:val="28"/>
        </w:rPr>
      </w:pPr>
    </w:p>
    <w:p w:rsidR="00AD289F" w:rsidRDefault="00AD289F" w:rsidP="00AD289F">
      <w:pPr>
        <w:rPr>
          <w:rFonts w:ascii="Trebuchet MS" w:hAnsi="Trebuchet MS"/>
          <w:b/>
          <w:bCs/>
          <w:color w:val="E6007E"/>
          <w:sz w:val="24"/>
          <w:szCs w:val="24"/>
        </w:rPr>
      </w:pPr>
    </w:p>
    <w:bookmarkEnd w:id="1"/>
    <w:p w:rsidR="005A26E7" w:rsidRPr="005A26E7" w:rsidRDefault="005A26E7" w:rsidP="005A26E7">
      <w:pPr>
        <w:rPr>
          <w:rFonts w:ascii="Trebuchet MS" w:hAnsi="Trebuchet MS" w:cstheme="minorHAnsi"/>
          <w:b/>
          <w:color w:val="E6007E"/>
          <w:sz w:val="24"/>
          <w:u w:val="single"/>
        </w:rPr>
      </w:pPr>
      <w:r w:rsidRPr="005A26E7">
        <w:rPr>
          <w:rFonts w:ascii="Trebuchet MS" w:hAnsi="Trebuchet MS" w:cstheme="minorHAnsi"/>
          <w:b/>
          <w:color w:val="E6007E"/>
          <w:sz w:val="24"/>
          <w:u w:val="single"/>
        </w:rPr>
        <w:t>Materials update: Guide to Delivering European Funding Section 11: Evidence and Retention</w:t>
      </w:r>
    </w:p>
    <w:p w:rsidR="005A26E7" w:rsidRPr="00014868" w:rsidRDefault="005A26E7" w:rsidP="005A26E7">
      <w:pPr>
        <w:rPr>
          <w:rFonts w:ascii="Trebuchet MS" w:hAnsi="Trebuchet MS" w:cstheme="minorHAnsi"/>
          <w:b/>
          <w:sz w:val="24"/>
        </w:rPr>
      </w:pPr>
    </w:p>
    <w:p w:rsidR="005A26E7" w:rsidRDefault="005A26E7" w:rsidP="005A26E7">
      <w:pPr>
        <w:spacing w:line="360" w:lineRule="auto"/>
        <w:jc w:val="both"/>
        <w:rPr>
          <w:rFonts w:ascii="Trebuchet MS" w:hAnsi="Trebuchet MS" w:cstheme="minorHAnsi"/>
          <w:sz w:val="24"/>
        </w:rPr>
      </w:pPr>
      <w:r w:rsidRPr="00014868">
        <w:rPr>
          <w:rFonts w:ascii="Trebuchet MS" w:hAnsi="Trebuchet MS" w:cstheme="minorHAnsi"/>
          <w:sz w:val="24"/>
        </w:rPr>
        <w:t xml:space="preserve">As part of our ongoing work to review and improve Building Better Opportunities materials the Guide to Delivering European Funding Section 11: Evidence and Retention version 7.0 is now available on our website. </w:t>
      </w:r>
    </w:p>
    <w:p w:rsidR="005A26E7" w:rsidRPr="00014868" w:rsidRDefault="005A26E7" w:rsidP="005A26E7">
      <w:pPr>
        <w:spacing w:line="360" w:lineRule="auto"/>
        <w:jc w:val="both"/>
        <w:rPr>
          <w:rFonts w:ascii="Trebuchet MS" w:hAnsi="Trebuchet MS" w:cstheme="minorHAnsi"/>
          <w:sz w:val="24"/>
        </w:rPr>
      </w:pPr>
    </w:p>
    <w:p w:rsidR="005A26E7" w:rsidRPr="00014868" w:rsidRDefault="005A26E7" w:rsidP="005A26E7">
      <w:pPr>
        <w:spacing w:line="360" w:lineRule="auto"/>
        <w:jc w:val="both"/>
        <w:rPr>
          <w:rFonts w:ascii="Trebuchet MS" w:hAnsi="Trebuchet MS" w:cstheme="minorHAnsi"/>
          <w:sz w:val="24"/>
        </w:rPr>
      </w:pPr>
      <w:r w:rsidRPr="00014868">
        <w:rPr>
          <w:rFonts w:ascii="Trebuchet MS" w:hAnsi="Trebuchet MS" w:cstheme="minorHAnsi"/>
          <w:sz w:val="24"/>
        </w:rPr>
        <w:t>A full summary of changes can be found within the document</w:t>
      </w:r>
      <w:r>
        <w:rPr>
          <w:rFonts w:ascii="Trebuchet MS" w:hAnsi="Trebuchet MS" w:cstheme="minorHAnsi"/>
          <w:sz w:val="24"/>
        </w:rPr>
        <w:t>,</w:t>
      </w:r>
      <w:r w:rsidRPr="00014868">
        <w:rPr>
          <w:rFonts w:ascii="Trebuchet MS" w:hAnsi="Trebuchet MS" w:cstheme="minorHAnsi"/>
          <w:sz w:val="24"/>
        </w:rPr>
        <w:t xml:space="preserve"> with key updates including: </w:t>
      </w:r>
    </w:p>
    <w:p w:rsidR="005A26E7" w:rsidRPr="00014868" w:rsidRDefault="005A26E7" w:rsidP="005A26E7">
      <w:pPr>
        <w:pStyle w:val="ListParagraph"/>
        <w:numPr>
          <w:ilvl w:val="0"/>
          <w:numId w:val="8"/>
        </w:numPr>
        <w:spacing w:after="0" w:line="360" w:lineRule="auto"/>
        <w:jc w:val="both"/>
        <w:rPr>
          <w:rFonts w:ascii="Trebuchet MS" w:hAnsi="Trebuchet MS" w:cstheme="minorHAnsi"/>
          <w:sz w:val="24"/>
        </w:rPr>
      </w:pPr>
      <w:r w:rsidRPr="00014868">
        <w:rPr>
          <w:rFonts w:ascii="Trebuchet MS" w:hAnsi="Trebuchet MS" w:cstheme="minorHAnsi"/>
          <w:sz w:val="24"/>
        </w:rPr>
        <w:t xml:space="preserve">the estimated document retention date being brought into line with other recent documentation (31 March 2034); </w:t>
      </w:r>
    </w:p>
    <w:p w:rsidR="005A26E7" w:rsidRPr="00014868" w:rsidRDefault="005A26E7" w:rsidP="005A26E7">
      <w:pPr>
        <w:pStyle w:val="ListParagraph"/>
        <w:numPr>
          <w:ilvl w:val="0"/>
          <w:numId w:val="8"/>
        </w:numPr>
        <w:spacing w:after="0" w:line="360" w:lineRule="auto"/>
        <w:jc w:val="both"/>
        <w:rPr>
          <w:rFonts w:ascii="Trebuchet MS" w:hAnsi="Trebuchet MS"/>
          <w:sz w:val="24"/>
          <w:szCs w:val="24"/>
        </w:rPr>
      </w:pPr>
      <w:r>
        <w:rPr>
          <w:rFonts w:ascii="Trebuchet MS" w:hAnsi="Trebuchet MS"/>
          <w:sz w:val="24"/>
          <w:szCs w:val="24"/>
        </w:rPr>
        <w:t xml:space="preserve">an </w:t>
      </w:r>
      <w:r w:rsidRPr="0644D13C">
        <w:rPr>
          <w:rFonts w:ascii="Trebuchet MS" w:hAnsi="Trebuchet MS"/>
          <w:sz w:val="24"/>
          <w:szCs w:val="24"/>
        </w:rPr>
        <w:t>update following the implementation of GDPR;</w:t>
      </w:r>
    </w:p>
    <w:p w:rsidR="005A26E7" w:rsidRPr="00014868" w:rsidRDefault="005A26E7" w:rsidP="005A26E7">
      <w:pPr>
        <w:pStyle w:val="ListParagraph"/>
        <w:numPr>
          <w:ilvl w:val="0"/>
          <w:numId w:val="8"/>
        </w:numPr>
        <w:spacing w:after="0" w:line="360" w:lineRule="auto"/>
        <w:jc w:val="both"/>
        <w:rPr>
          <w:rFonts w:ascii="Trebuchet MS" w:hAnsi="Trebuchet MS" w:cstheme="minorHAnsi"/>
          <w:sz w:val="24"/>
        </w:rPr>
      </w:pPr>
      <w:r w:rsidRPr="00014868">
        <w:rPr>
          <w:rFonts w:ascii="Trebuchet MS" w:hAnsi="Trebuchet MS" w:cstheme="minorHAnsi"/>
          <w:sz w:val="24"/>
        </w:rPr>
        <w:t>more detail on electronic data; and</w:t>
      </w:r>
    </w:p>
    <w:p w:rsidR="005A26E7" w:rsidRDefault="005A26E7" w:rsidP="005A26E7">
      <w:pPr>
        <w:pStyle w:val="ListParagraph"/>
        <w:numPr>
          <w:ilvl w:val="0"/>
          <w:numId w:val="8"/>
        </w:numPr>
        <w:spacing w:after="0" w:line="360" w:lineRule="auto"/>
        <w:jc w:val="both"/>
        <w:rPr>
          <w:rFonts w:ascii="Trebuchet MS" w:hAnsi="Trebuchet MS"/>
          <w:sz w:val="24"/>
          <w:szCs w:val="24"/>
        </w:rPr>
      </w:pPr>
      <w:r w:rsidRPr="0644D13C">
        <w:rPr>
          <w:rFonts w:ascii="Trebuchet MS" w:hAnsi="Trebuchet MS"/>
          <w:sz w:val="24"/>
          <w:szCs w:val="24"/>
        </w:rPr>
        <w:t>the grant closure process (detailed in Section 14: Grant Closure).</w:t>
      </w:r>
    </w:p>
    <w:p w:rsidR="005A26E7" w:rsidRPr="00014868" w:rsidRDefault="005A26E7" w:rsidP="005A26E7">
      <w:pPr>
        <w:pStyle w:val="ListParagraph"/>
        <w:spacing w:after="0" w:line="360" w:lineRule="auto"/>
        <w:jc w:val="both"/>
        <w:rPr>
          <w:rFonts w:ascii="Trebuchet MS" w:hAnsi="Trebuchet MS"/>
          <w:sz w:val="24"/>
          <w:szCs w:val="24"/>
        </w:rPr>
      </w:pPr>
    </w:p>
    <w:p w:rsidR="005A26E7" w:rsidRPr="00014868" w:rsidRDefault="005A26E7" w:rsidP="005A26E7">
      <w:pPr>
        <w:spacing w:line="360" w:lineRule="auto"/>
        <w:jc w:val="both"/>
        <w:rPr>
          <w:rFonts w:ascii="Trebuchet MS" w:hAnsi="Trebuchet MS" w:cstheme="minorHAnsi"/>
          <w:sz w:val="24"/>
        </w:rPr>
      </w:pPr>
      <w:r w:rsidRPr="00014868">
        <w:rPr>
          <w:rFonts w:ascii="Trebuchet MS" w:hAnsi="Trebuchet MS" w:cstheme="minorHAnsi"/>
          <w:sz w:val="24"/>
        </w:rPr>
        <w:t xml:space="preserve">The Guide is designed to support you to manage your Building Better Opportunities grant and should be used in conjunction with guidance produced by the Managing Authority and European Commission and does not replace it. The Guide remains under review and is subject to change. It should be read alongside the Essential Updates published on our website and emailed to the lead partner. </w:t>
      </w:r>
    </w:p>
    <w:p w:rsidR="003B68F1" w:rsidRPr="003B68F1" w:rsidRDefault="003B68F1" w:rsidP="005A26E7">
      <w:pPr>
        <w:spacing w:line="360" w:lineRule="auto"/>
        <w:jc w:val="both"/>
        <w:rPr>
          <w:rFonts w:ascii="Arial" w:hAnsi="Arial" w:cs="Arial"/>
          <w:color w:val="000000" w:themeColor="text1"/>
        </w:rPr>
      </w:pPr>
    </w:p>
    <w:sectPr w:rsidR="003B68F1" w:rsidRPr="003B68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DD" w:rsidRDefault="007756DD" w:rsidP="004D183A">
      <w:r>
        <w:separator/>
      </w:r>
    </w:p>
  </w:endnote>
  <w:endnote w:type="continuationSeparator" w:id="0">
    <w:p w:rsidR="007756DD" w:rsidRDefault="007756DD"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DD" w:rsidRDefault="007756DD" w:rsidP="004D183A">
      <w:r>
        <w:separator/>
      </w:r>
    </w:p>
  </w:footnote>
  <w:footnote w:type="continuationSeparator" w:id="0">
    <w:p w:rsidR="007756DD" w:rsidRDefault="007756DD"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5172BBF2" wp14:editId="39A10C9B">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3A4E"/>
    <w:multiLevelType w:val="hybridMultilevel"/>
    <w:tmpl w:val="FFF2B5BE"/>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F2620"/>
    <w:multiLevelType w:val="hybridMultilevel"/>
    <w:tmpl w:val="C50E2838"/>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66667"/>
    <w:multiLevelType w:val="hybridMultilevel"/>
    <w:tmpl w:val="9788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0AF4"/>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12D52"/>
    <w:rsid w:val="0041715B"/>
    <w:rsid w:val="00427070"/>
    <w:rsid w:val="00442E49"/>
    <w:rsid w:val="004510FB"/>
    <w:rsid w:val="0045447E"/>
    <w:rsid w:val="0047181C"/>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6E3F"/>
    <w:rsid w:val="00587DA8"/>
    <w:rsid w:val="00592686"/>
    <w:rsid w:val="005A26E7"/>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56DD"/>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76EFF"/>
    <w:rsid w:val="008866F2"/>
    <w:rsid w:val="00896EF2"/>
    <w:rsid w:val="008979D8"/>
    <w:rsid w:val="008A1306"/>
    <w:rsid w:val="008A4BE9"/>
    <w:rsid w:val="008B207C"/>
    <w:rsid w:val="008B3B10"/>
    <w:rsid w:val="008B7C30"/>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3FC3"/>
    <w:rsid w:val="00984C66"/>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289F"/>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8D3"/>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D3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3898D-35C0-41A5-B65C-65603B8D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paragraph" w:styleId="ListParagraph">
    <w:name w:val="List Paragraph"/>
    <w:basedOn w:val="Normal"/>
    <w:uiPriority w:val="34"/>
    <w:qFormat/>
    <w:rsid w:val="00ED3947"/>
    <w:pPr>
      <w:spacing w:after="160" w:line="259" w:lineRule="auto"/>
      <w:ind w:left="720"/>
      <w:contextualSpacing/>
    </w:pPr>
    <w:rPr>
      <w:rFonts w:asciiTheme="minorHAnsi" w:hAnsiTheme="minorHAnsi" w:cstheme="minorBidi"/>
    </w:rPr>
  </w:style>
  <w:style w:type="paragraph" w:customStyle="1" w:styleId="body">
    <w:name w:val="body"/>
    <w:basedOn w:val="Normal"/>
    <w:rsid w:val="008B7C30"/>
    <w:pPr>
      <w:spacing w:before="100" w:beforeAutospacing="1" w:after="100" w:afterAutospacing="1"/>
    </w:pPr>
    <w:rPr>
      <w:rFonts w:cs="Calibri"/>
      <w:lang w:eastAsia="en-GB"/>
    </w:rPr>
  </w:style>
  <w:style w:type="character" w:styleId="Strong">
    <w:name w:val="Strong"/>
    <w:basedOn w:val="DefaultParagraphFont"/>
    <w:uiPriority w:val="22"/>
    <w:qFormat/>
    <w:rsid w:val="008B7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8046">
      <w:bodyDiv w:val="1"/>
      <w:marLeft w:val="0"/>
      <w:marRight w:val="0"/>
      <w:marTop w:val="0"/>
      <w:marBottom w:val="0"/>
      <w:divBdr>
        <w:top w:val="none" w:sz="0" w:space="0" w:color="auto"/>
        <w:left w:val="none" w:sz="0" w:space="0" w:color="auto"/>
        <w:bottom w:val="none" w:sz="0" w:space="0" w:color="auto"/>
        <w:right w:val="none" w:sz="0" w:space="0" w:color="auto"/>
      </w:divBdr>
    </w:div>
    <w:div w:id="192574256">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037436982">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970A65E3</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Simon Eleftheropoulos-Weatherburn</dc:creator>
  <cp:keywords/>
  <dc:description/>
  <cp:lastModifiedBy>Nicolas Hogg</cp:lastModifiedBy>
  <cp:revision>2</cp:revision>
  <dcterms:created xsi:type="dcterms:W3CDTF">2020-02-26T09:14:00Z</dcterms:created>
  <dcterms:modified xsi:type="dcterms:W3CDTF">2020-02-26T09:14:00Z</dcterms:modified>
</cp:coreProperties>
</file>