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4846F" w14:textId="77777777" w:rsidR="0078258D" w:rsidRDefault="0078258D">
      <w:pPr>
        <w:rPr>
          <w:rFonts w:ascii="Trebuchet MS" w:hAnsi="Trebuchet MS"/>
          <w:b/>
          <w:sz w:val="24"/>
          <w:szCs w:val="24"/>
        </w:rPr>
      </w:pPr>
      <w:r>
        <w:rPr>
          <w:rFonts w:ascii="Trebuchet MS" w:hAnsi="Trebuchet MS"/>
          <w:b/>
          <w:noProof/>
          <w:sz w:val="24"/>
          <w:szCs w:val="24"/>
          <w:lang w:eastAsia="en-GB"/>
        </w:rPr>
        <w:drawing>
          <wp:anchor distT="0" distB="0" distL="114300" distR="114300" simplePos="0" relativeHeight="251658240" behindDoc="0" locked="0" layoutInCell="1" allowOverlap="1" wp14:anchorId="378CC232" wp14:editId="2E02BE39">
            <wp:simplePos x="914400" y="914400"/>
            <wp:positionH relativeFrom="margin">
              <wp:align>right</wp:align>
            </wp:positionH>
            <wp:positionV relativeFrom="margin">
              <wp:align>top</wp:align>
            </wp:positionV>
            <wp:extent cx="4082155" cy="1257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O(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82155" cy="1257300"/>
                    </a:xfrm>
                    <a:prstGeom prst="rect">
                      <a:avLst/>
                    </a:prstGeom>
                  </pic:spPr>
                </pic:pic>
              </a:graphicData>
            </a:graphic>
          </wp:anchor>
        </w:drawing>
      </w:r>
    </w:p>
    <w:p w14:paraId="46C96141" w14:textId="77777777" w:rsidR="0078258D" w:rsidRDefault="0078258D">
      <w:pPr>
        <w:rPr>
          <w:rFonts w:ascii="Trebuchet MS" w:hAnsi="Trebuchet MS"/>
          <w:b/>
          <w:sz w:val="24"/>
          <w:szCs w:val="24"/>
        </w:rPr>
      </w:pPr>
    </w:p>
    <w:p w14:paraId="36A4C6AB" w14:textId="77777777" w:rsidR="0078258D" w:rsidRDefault="0078258D">
      <w:pPr>
        <w:rPr>
          <w:rFonts w:ascii="Trebuchet MS" w:hAnsi="Trebuchet MS"/>
          <w:b/>
          <w:sz w:val="24"/>
          <w:szCs w:val="24"/>
        </w:rPr>
      </w:pPr>
    </w:p>
    <w:p w14:paraId="6A664F9B" w14:textId="77777777" w:rsidR="0078258D" w:rsidRDefault="0078258D">
      <w:pPr>
        <w:rPr>
          <w:rFonts w:ascii="Trebuchet MS" w:hAnsi="Trebuchet MS"/>
          <w:b/>
          <w:sz w:val="24"/>
          <w:szCs w:val="24"/>
        </w:rPr>
      </w:pPr>
    </w:p>
    <w:p w14:paraId="7208E411" w14:textId="77777777" w:rsidR="0078258D" w:rsidRDefault="0078258D">
      <w:pPr>
        <w:rPr>
          <w:rFonts w:ascii="Trebuchet MS" w:hAnsi="Trebuchet MS"/>
          <w:b/>
          <w:sz w:val="24"/>
          <w:szCs w:val="24"/>
        </w:rPr>
      </w:pPr>
    </w:p>
    <w:p w14:paraId="5A225C8E" w14:textId="77777777" w:rsidR="0078258D" w:rsidRPr="00286E6A" w:rsidRDefault="0078258D">
      <w:pPr>
        <w:rPr>
          <w:rFonts w:ascii="Trebuchet MS" w:hAnsi="Trebuchet MS"/>
          <w:b/>
          <w:sz w:val="28"/>
          <w:szCs w:val="28"/>
        </w:rPr>
      </w:pPr>
      <w:r w:rsidRPr="00286E6A">
        <w:rPr>
          <w:rFonts w:ascii="Trebuchet MS" w:hAnsi="Trebuchet MS"/>
          <w:b/>
          <w:sz w:val="28"/>
          <w:szCs w:val="28"/>
        </w:rPr>
        <w:t>Essential update – February 2019</w:t>
      </w:r>
    </w:p>
    <w:p w14:paraId="7345A181" w14:textId="77777777" w:rsidR="00C86C73" w:rsidRDefault="00C86C73">
      <w:pPr>
        <w:rPr>
          <w:rFonts w:ascii="Trebuchet MS" w:hAnsi="Trebuchet MS"/>
          <w:b/>
          <w:sz w:val="24"/>
          <w:szCs w:val="24"/>
        </w:rPr>
      </w:pPr>
      <w:r w:rsidRPr="002E216D">
        <w:rPr>
          <w:rFonts w:ascii="Trebuchet MS" w:hAnsi="Trebuchet MS"/>
          <w:b/>
          <w:sz w:val="24"/>
          <w:szCs w:val="24"/>
        </w:rPr>
        <w:t>Updated Guide to Delivering European Funding</w:t>
      </w:r>
    </w:p>
    <w:p w14:paraId="5151BD9C" w14:textId="77777777" w:rsidR="00132AB6" w:rsidRDefault="00132AB6">
      <w:pPr>
        <w:rPr>
          <w:rFonts w:ascii="Trebuchet MS" w:hAnsi="Trebuchet MS"/>
          <w:sz w:val="24"/>
          <w:szCs w:val="24"/>
        </w:rPr>
      </w:pPr>
      <w:r>
        <w:rPr>
          <w:rFonts w:ascii="Trebuchet MS" w:hAnsi="Trebuchet MS"/>
          <w:sz w:val="24"/>
          <w:szCs w:val="24"/>
        </w:rPr>
        <w:t>W</w:t>
      </w:r>
      <w:r w:rsidRPr="00132AB6">
        <w:rPr>
          <w:rFonts w:ascii="Trebuchet MS" w:hAnsi="Trebuchet MS"/>
          <w:sz w:val="24"/>
          <w:szCs w:val="24"/>
        </w:rPr>
        <w:t>e continue to regularly update th</w:t>
      </w:r>
      <w:r>
        <w:rPr>
          <w:rFonts w:ascii="Trebuchet MS" w:hAnsi="Trebuchet MS"/>
          <w:sz w:val="24"/>
          <w:szCs w:val="24"/>
        </w:rPr>
        <w:t>e G</w:t>
      </w:r>
      <w:r w:rsidRPr="00132AB6">
        <w:rPr>
          <w:rFonts w:ascii="Trebuchet MS" w:hAnsi="Trebuchet MS"/>
          <w:sz w:val="24"/>
          <w:szCs w:val="24"/>
        </w:rPr>
        <w:t xml:space="preserve">uide to </w:t>
      </w:r>
      <w:r>
        <w:rPr>
          <w:rFonts w:ascii="Trebuchet MS" w:hAnsi="Trebuchet MS"/>
          <w:sz w:val="24"/>
          <w:szCs w:val="24"/>
        </w:rPr>
        <w:t>Delivering European F</w:t>
      </w:r>
      <w:r w:rsidRPr="00132AB6">
        <w:rPr>
          <w:rFonts w:ascii="Trebuchet MS" w:hAnsi="Trebuchet MS"/>
          <w:sz w:val="24"/>
          <w:szCs w:val="24"/>
        </w:rPr>
        <w:t xml:space="preserve">unding, reflecting current practices and the information released in essential updates and quarterly round ups. </w:t>
      </w:r>
      <w:r>
        <w:rPr>
          <w:rFonts w:ascii="Trebuchet MS" w:hAnsi="Trebuchet MS"/>
          <w:sz w:val="24"/>
          <w:szCs w:val="24"/>
        </w:rPr>
        <w:t xml:space="preserve">Details of the </w:t>
      </w:r>
      <w:r w:rsidRPr="00132AB6">
        <w:rPr>
          <w:rFonts w:ascii="Trebuchet MS" w:hAnsi="Trebuchet MS"/>
          <w:sz w:val="24"/>
          <w:szCs w:val="24"/>
        </w:rPr>
        <w:t>latest updates are shared below</w:t>
      </w:r>
      <w:r>
        <w:rPr>
          <w:rFonts w:ascii="Trebuchet MS" w:hAnsi="Trebuchet MS"/>
          <w:sz w:val="24"/>
          <w:szCs w:val="24"/>
        </w:rPr>
        <w:t xml:space="preserve">, and the full updated documents can be found on our website </w:t>
      </w:r>
      <w:hyperlink r:id="rId5" w:history="1">
        <w:r w:rsidRPr="007A50FC">
          <w:rPr>
            <w:rStyle w:val="Hyperlink"/>
            <w:rFonts w:ascii="Trebuchet MS" w:hAnsi="Trebuchet MS"/>
            <w:sz w:val="24"/>
            <w:szCs w:val="24"/>
          </w:rPr>
          <w:t>here</w:t>
        </w:r>
      </w:hyperlink>
      <w:r>
        <w:rPr>
          <w:rFonts w:ascii="Trebuchet MS" w:hAnsi="Trebuchet MS"/>
          <w:sz w:val="24"/>
          <w:szCs w:val="24"/>
        </w:rPr>
        <w:t>.</w:t>
      </w:r>
    </w:p>
    <w:p w14:paraId="47E3EB4E" w14:textId="77777777" w:rsidR="00286E6A" w:rsidRPr="00132AB6" w:rsidRDefault="00286E6A">
      <w:pPr>
        <w:rPr>
          <w:rFonts w:ascii="Trebuchet MS" w:hAnsi="Trebuchet MS"/>
          <w:sz w:val="24"/>
          <w:szCs w:val="24"/>
        </w:rPr>
      </w:pPr>
      <w:r>
        <w:rPr>
          <w:rFonts w:ascii="Trebuchet MS" w:hAnsi="Trebuchet MS"/>
          <w:sz w:val="24"/>
          <w:szCs w:val="24"/>
        </w:rPr>
        <w:t xml:space="preserve">You are receiving this essential update in a different format to normal due to technical difficulties. </w:t>
      </w:r>
    </w:p>
    <w:p w14:paraId="0DC6DCD1" w14:textId="77777777" w:rsidR="00A1034D" w:rsidRPr="002E216D" w:rsidRDefault="004D4C4E">
      <w:pPr>
        <w:rPr>
          <w:rFonts w:ascii="Trebuchet MS" w:hAnsi="Trebuchet MS"/>
          <w:b/>
          <w:sz w:val="24"/>
          <w:szCs w:val="24"/>
        </w:rPr>
      </w:pPr>
      <w:r w:rsidRPr="002E216D">
        <w:rPr>
          <w:rFonts w:ascii="Trebuchet MS" w:hAnsi="Trebuchet MS"/>
          <w:b/>
          <w:sz w:val="24"/>
          <w:szCs w:val="24"/>
        </w:rPr>
        <w:t>Section Eight (Costs and expenditure)</w:t>
      </w:r>
    </w:p>
    <w:p w14:paraId="2111EA5C" w14:textId="77777777" w:rsidR="00556E3D" w:rsidRPr="002E216D" w:rsidRDefault="00C41586">
      <w:pPr>
        <w:rPr>
          <w:rFonts w:ascii="Trebuchet MS" w:hAnsi="Trebuchet MS"/>
          <w:sz w:val="24"/>
          <w:szCs w:val="24"/>
        </w:rPr>
      </w:pPr>
      <w:r w:rsidRPr="002E216D">
        <w:rPr>
          <w:rFonts w:ascii="Trebuchet MS" w:hAnsi="Trebuchet MS"/>
          <w:sz w:val="24"/>
          <w:szCs w:val="24"/>
        </w:rPr>
        <w:t>The guidance now contains additional sections on the employer national insurance allowance, petty cash</w:t>
      </w:r>
      <w:r w:rsidR="007A4145" w:rsidRPr="002E216D">
        <w:rPr>
          <w:rFonts w:ascii="Trebuchet MS" w:hAnsi="Trebuchet MS"/>
          <w:sz w:val="24"/>
          <w:szCs w:val="24"/>
        </w:rPr>
        <w:t xml:space="preserve">, </w:t>
      </w:r>
      <w:r w:rsidRPr="002E216D">
        <w:rPr>
          <w:rFonts w:ascii="Trebuchet MS" w:hAnsi="Trebuchet MS"/>
          <w:sz w:val="24"/>
          <w:szCs w:val="24"/>
        </w:rPr>
        <w:t>irrecoverable VAT</w:t>
      </w:r>
      <w:r w:rsidR="007A4145" w:rsidRPr="002E216D">
        <w:rPr>
          <w:rFonts w:ascii="Trebuchet MS" w:hAnsi="Trebuchet MS"/>
          <w:sz w:val="24"/>
          <w:szCs w:val="24"/>
        </w:rPr>
        <w:t xml:space="preserve"> and venue hire</w:t>
      </w:r>
      <w:r w:rsidRPr="002E216D">
        <w:rPr>
          <w:rFonts w:ascii="Trebuchet MS" w:hAnsi="Trebuchet MS"/>
          <w:sz w:val="24"/>
          <w:szCs w:val="24"/>
        </w:rPr>
        <w:t>, w</w:t>
      </w:r>
      <w:r w:rsidR="007A4145" w:rsidRPr="002E216D">
        <w:rPr>
          <w:rFonts w:ascii="Trebuchet MS" w:hAnsi="Trebuchet MS"/>
          <w:sz w:val="24"/>
          <w:szCs w:val="24"/>
        </w:rPr>
        <w:t>ith updates to all existing sections. This includes adding links to European Commission and Managing Authority guidance, updated information o</w:t>
      </w:r>
      <w:r w:rsidR="00FF20AF" w:rsidRPr="002E216D">
        <w:rPr>
          <w:rFonts w:ascii="Trebuchet MS" w:hAnsi="Trebuchet MS"/>
          <w:sz w:val="24"/>
          <w:szCs w:val="24"/>
        </w:rPr>
        <w:t xml:space="preserve">n timesheets, participant costs, </w:t>
      </w:r>
      <w:r w:rsidR="007A4145" w:rsidRPr="002E216D">
        <w:rPr>
          <w:rFonts w:ascii="Trebuchet MS" w:hAnsi="Trebuchet MS"/>
          <w:sz w:val="24"/>
          <w:szCs w:val="24"/>
        </w:rPr>
        <w:t>reporting expenditure</w:t>
      </w:r>
      <w:r w:rsidR="00FF20AF" w:rsidRPr="002E216D">
        <w:rPr>
          <w:rFonts w:ascii="Trebuchet MS" w:hAnsi="Trebuchet MS"/>
          <w:sz w:val="24"/>
          <w:szCs w:val="24"/>
        </w:rPr>
        <w:t xml:space="preserve"> and our </w:t>
      </w:r>
      <w:r w:rsidR="002E216D">
        <w:rPr>
          <w:rFonts w:ascii="Trebuchet MS" w:hAnsi="Trebuchet MS"/>
          <w:sz w:val="24"/>
          <w:szCs w:val="24"/>
        </w:rPr>
        <w:t>change of name</w:t>
      </w:r>
      <w:r w:rsidR="007A4145" w:rsidRPr="002E216D">
        <w:rPr>
          <w:rFonts w:ascii="Trebuchet MS" w:hAnsi="Trebuchet MS"/>
          <w:sz w:val="24"/>
          <w:szCs w:val="24"/>
        </w:rPr>
        <w:t xml:space="preserve">. </w:t>
      </w:r>
      <w:r w:rsidR="00556E3D" w:rsidRPr="002E216D">
        <w:rPr>
          <w:rFonts w:ascii="Trebuchet MS" w:hAnsi="Trebuchet MS"/>
          <w:sz w:val="24"/>
          <w:szCs w:val="24"/>
        </w:rPr>
        <w:t>Following the introduction of GDPR we also include updated guidance on completing the financial mon</w:t>
      </w:r>
      <w:r w:rsidR="002E216D">
        <w:rPr>
          <w:rFonts w:ascii="Trebuchet MS" w:hAnsi="Trebuchet MS"/>
          <w:sz w:val="24"/>
          <w:szCs w:val="24"/>
        </w:rPr>
        <w:t>itoring spreadsheet - annex O. F</w:t>
      </w:r>
      <w:r w:rsidR="00556E3D" w:rsidRPr="002E216D">
        <w:rPr>
          <w:rFonts w:ascii="Trebuchet MS" w:hAnsi="Trebuchet MS"/>
          <w:sz w:val="24"/>
          <w:szCs w:val="24"/>
        </w:rPr>
        <w:t>or all future submissions please do not use the full names of participants or staff on this document.</w:t>
      </w:r>
    </w:p>
    <w:p w14:paraId="47589A3F" w14:textId="77777777" w:rsidR="00C41586" w:rsidRPr="002E216D" w:rsidRDefault="00556E3D">
      <w:pPr>
        <w:rPr>
          <w:rFonts w:ascii="Trebuchet MS" w:hAnsi="Trebuchet MS"/>
          <w:sz w:val="24"/>
          <w:szCs w:val="24"/>
        </w:rPr>
      </w:pPr>
      <w:r w:rsidRPr="002E216D">
        <w:rPr>
          <w:rFonts w:ascii="Trebuchet MS" w:hAnsi="Trebuchet MS"/>
          <w:sz w:val="24"/>
          <w:szCs w:val="24"/>
        </w:rPr>
        <w:t>The hourly rate guidance will continue to be updated as a separate document.</w:t>
      </w:r>
    </w:p>
    <w:p w14:paraId="2D224006" w14:textId="77777777" w:rsidR="002778D8" w:rsidRPr="002E216D" w:rsidRDefault="007A4145" w:rsidP="002778D8">
      <w:pPr>
        <w:rPr>
          <w:rFonts w:ascii="Trebuchet MS" w:hAnsi="Trebuchet MS"/>
          <w:sz w:val="24"/>
          <w:szCs w:val="24"/>
        </w:rPr>
      </w:pPr>
      <w:r w:rsidRPr="002E216D">
        <w:rPr>
          <w:rFonts w:ascii="Trebuchet MS" w:hAnsi="Trebuchet MS"/>
          <w:sz w:val="24"/>
          <w:szCs w:val="24"/>
        </w:rPr>
        <w:t>Please note that the retention date included within this gu</w:t>
      </w:r>
      <w:r w:rsidR="002E216D">
        <w:rPr>
          <w:rFonts w:ascii="Trebuchet MS" w:hAnsi="Trebuchet MS"/>
          <w:sz w:val="24"/>
          <w:szCs w:val="24"/>
        </w:rPr>
        <w:t xml:space="preserve">idance is 31 March 2034, </w:t>
      </w:r>
      <w:r w:rsidRPr="002E216D">
        <w:rPr>
          <w:rFonts w:ascii="Trebuchet MS" w:hAnsi="Trebuchet MS"/>
          <w:sz w:val="24"/>
          <w:szCs w:val="24"/>
        </w:rPr>
        <w:t xml:space="preserve">due to the </w:t>
      </w:r>
      <w:r w:rsidR="002778D8" w:rsidRPr="002E216D">
        <w:rPr>
          <w:rFonts w:ascii="Trebuchet MS" w:hAnsi="Trebuchet MS"/>
          <w:sz w:val="24"/>
          <w:szCs w:val="24"/>
        </w:rPr>
        <w:t xml:space="preserve">extension of the BBO programme.  More information on document retention can be found </w:t>
      </w:r>
      <w:hyperlink r:id="rId6" w:history="1">
        <w:r w:rsidR="002778D8" w:rsidRPr="002E216D">
          <w:rPr>
            <w:rStyle w:val="Hyperlink"/>
            <w:rFonts w:ascii="Trebuchet MS" w:hAnsi="Trebuchet MS"/>
            <w:sz w:val="24"/>
            <w:szCs w:val="24"/>
          </w:rPr>
          <w:t>here</w:t>
        </w:r>
      </w:hyperlink>
      <w:r w:rsidR="002778D8" w:rsidRPr="002E216D">
        <w:rPr>
          <w:rFonts w:ascii="Trebuchet MS" w:hAnsi="Trebuchet MS"/>
          <w:sz w:val="24"/>
          <w:szCs w:val="24"/>
        </w:rPr>
        <w:t>.</w:t>
      </w:r>
    </w:p>
    <w:p w14:paraId="15FEF78E" w14:textId="77777777" w:rsidR="002778D8" w:rsidRPr="002E216D" w:rsidRDefault="002778D8">
      <w:pPr>
        <w:rPr>
          <w:rFonts w:ascii="Trebuchet MS" w:hAnsi="Trebuchet MS"/>
          <w:sz w:val="24"/>
          <w:szCs w:val="24"/>
        </w:rPr>
      </w:pPr>
      <w:r w:rsidRPr="002E216D">
        <w:rPr>
          <w:rFonts w:ascii="Trebuchet MS" w:hAnsi="Trebuchet MS"/>
          <w:sz w:val="24"/>
          <w:szCs w:val="24"/>
        </w:rPr>
        <w:t>Thank you to those of you who provided feedback during the development of section eight.  We will continue to make updates to the Guide over the next few months and appreciate your patience during this work.</w:t>
      </w:r>
    </w:p>
    <w:p w14:paraId="716BC019" w14:textId="77777777" w:rsidR="001A6EB5" w:rsidRPr="002E216D" w:rsidRDefault="001A6EB5">
      <w:pPr>
        <w:rPr>
          <w:rFonts w:ascii="Trebuchet MS" w:hAnsi="Trebuchet MS"/>
          <w:b/>
          <w:sz w:val="24"/>
          <w:szCs w:val="24"/>
        </w:rPr>
      </w:pPr>
      <w:r w:rsidRPr="002E216D">
        <w:rPr>
          <w:rFonts w:ascii="Trebuchet MS" w:hAnsi="Trebuchet MS"/>
          <w:b/>
          <w:sz w:val="24"/>
          <w:szCs w:val="24"/>
        </w:rPr>
        <w:t>Section Nine (Publicity)</w:t>
      </w:r>
    </w:p>
    <w:p w14:paraId="4DB58427" w14:textId="77777777" w:rsidR="00132AB6" w:rsidRDefault="001A6EB5">
      <w:pPr>
        <w:rPr>
          <w:rFonts w:ascii="Trebuchet MS" w:hAnsi="Trebuchet MS"/>
          <w:sz w:val="24"/>
          <w:szCs w:val="24"/>
        </w:rPr>
      </w:pPr>
      <w:r w:rsidRPr="002E216D">
        <w:rPr>
          <w:rFonts w:ascii="Trebuchet MS" w:hAnsi="Trebuchet MS"/>
          <w:sz w:val="24"/>
          <w:szCs w:val="24"/>
        </w:rPr>
        <w:t xml:space="preserve">We have updated section 9 to reflect our name change to The National Lottery Community Fund. The important changes to note are the new BBO logo, updated Notes to Editors, and </w:t>
      </w:r>
      <w:r w:rsidR="00132AB6">
        <w:rPr>
          <w:rFonts w:ascii="Trebuchet MS" w:hAnsi="Trebuchet MS"/>
          <w:sz w:val="24"/>
          <w:szCs w:val="24"/>
        </w:rPr>
        <w:t>reflecting our new name in the way you refer to the BBO funders.</w:t>
      </w:r>
    </w:p>
    <w:p w14:paraId="479BBCC9" w14:textId="77777777" w:rsidR="00C86C73" w:rsidRPr="002E216D" w:rsidRDefault="00C86C73">
      <w:pPr>
        <w:rPr>
          <w:rFonts w:ascii="Trebuchet MS" w:hAnsi="Trebuchet MS"/>
          <w:sz w:val="24"/>
          <w:szCs w:val="24"/>
        </w:rPr>
      </w:pPr>
      <w:r w:rsidRPr="002E216D">
        <w:rPr>
          <w:rFonts w:ascii="Trebuchet MS" w:hAnsi="Trebuchet MS"/>
          <w:sz w:val="24"/>
          <w:szCs w:val="24"/>
        </w:rPr>
        <w:t xml:space="preserve">Please note there are no other substantive changes to the guidance. You should be using the new logo in the same way as the old logo, making sure </w:t>
      </w:r>
      <w:r w:rsidR="00F53B34">
        <w:rPr>
          <w:rFonts w:ascii="Trebuchet MS" w:hAnsi="Trebuchet MS"/>
          <w:sz w:val="24"/>
          <w:szCs w:val="24"/>
        </w:rPr>
        <w:t>the</w:t>
      </w:r>
      <w:r w:rsidRPr="002E216D">
        <w:rPr>
          <w:rFonts w:ascii="Trebuchet MS" w:hAnsi="Trebuchet MS"/>
          <w:sz w:val="24"/>
          <w:szCs w:val="24"/>
        </w:rPr>
        <w:t xml:space="preserve"> size and positioning is correct, and that the ESF part of the logo is </w:t>
      </w:r>
      <w:r w:rsidRPr="00F53B34">
        <w:rPr>
          <w:rFonts w:ascii="Trebuchet MS" w:hAnsi="Trebuchet MS"/>
          <w:sz w:val="24"/>
          <w:szCs w:val="24"/>
        </w:rPr>
        <w:t xml:space="preserve">at least the same size in </w:t>
      </w:r>
      <w:r w:rsidRPr="00F53B34">
        <w:rPr>
          <w:rFonts w:ascii="Trebuchet MS" w:hAnsi="Trebuchet MS"/>
          <w:sz w:val="24"/>
          <w:szCs w:val="24"/>
        </w:rPr>
        <w:lastRenderedPageBreak/>
        <w:t xml:space="preserve">either height, or width, </w:t>
      </w:r>
      <w:r w:rsidRPr="002E216D">
        <w:rPr>
          <w:rFonts w:ascii="Trebuchet MS" w:hAnsi="Trebuchet MS"/>
          <w:sz w:val="24"/>
          <w:szCs w:val="24"/>
        </w:rPr>
        <w:t>as any other logos on the page. See section 9.3 of the guidance for more information.</w:t>
      </w:r>
    </w:p>
    <w:p w14:paraId="3CA64515" w14:textId="77777777" w:rsidR="002E216D" w:rsidRPr="00F53B34" w:rsidRDefault="002E216D" w:rsidP="00C86C73">
      <w:pPr>
        <w:rPr>
          <w:rFonts w:ascii="Trebuchet MS" w:hAnsi="Trebuchet MS"/>
          <w:b/>
          <w:sz w:val="24"/>
          <w:szCs w:val="24"/>
        </w:rPr>
      </w:pPr>
      <w:r w:rsidRPr="00F53B34">
        <w:rPr>
          <w:rFonts w:ascii="Trebuchet MS" w:hAnsi="Trebuchet MS"/>
          <w:b/>
          <w:sz w:val="24"/>
          <w:szCs w:val="24"/>
        </w:rPr>
        <w:t>General note</w:t>
      </w:r>
    </w:p>
    <w:p w14:paraId="51B51D34" w14:textId="77777777" w:rsidR="00C86C73" w:rsidRPr="002E216D" w:rsidRDefault="00C86C73" w:rsidP="00C86C73">
      <w:pPr>
        <w:rPr>
          <w:rFonts w:ascii="Trebuchet MS" w:hAnsi="Trebuchet MS"/>
          <w:sz w:val="24"/>
          <w:szCs w:val="24"/>
        </w:rPr>
      </w:pPr>
      <w:r w:rsidRPr="002E216D">
        <w:rPr>
          <w:rFonts w:ascii="Trebuchet MS" w:hAnsi="Trebuchet MS"/>
          <w:sz w:val="24"/>
          <w:szCs w:val="24"/>
        </w:rPr>
        <w:t>We are starting to update the a</w:t>
      </w:r>
      <w:r w:rsidR="002E216D" w:rsidRPr="002E216D">
        <w:rPr>
          <w:rFonts w:ascii="Trebuchet MS" w:hAnsi="Trebuchet MS"/>
          <w:sz w:val="24"/>
          <w:szCs w:val="24"/>
        </w:rPr>
        <w:t>nnexes to reflect our new brand.</w:t>
      </w:r>
      <w:r w:rsidRPr="002E216D">
        <w:rPr>
          <w:rFonts w:ascii="Trebuchet MS" w:hAnsi="Trebuchet MS"/>
          <w:sz w:val="24"/>
          <w:szCs w:val="24"/>
        </w:rPr>
        <w:t xml:space="preserve"> </w:t>
      </w:r>
      <w:r w:rsidR="002E216D" w:rsidRPr="002E216D">
        <w:rPr>
          <w:rFonts w:ascii="Trebuchet MS" w:hAnsi="Trebuchet MS"/>
          <w:sz w:val="24"/>
          <w:szCs w:val="24"/>
        </w:rPr>
        <w:t>T</w:t>
      </w:r>
      <w:r w:rsidRPr="002E216D">
        <w:rPr>
          <w:rFonts w:ascii="Trebuchet MS" w:hAnsi="Trebuchet MS"/>
          <w:sz w:val="24"/>
          <w:szCs w:val="24"/>
        </w:rPr>
        <w:t>he first of these, annex D</w:t>
      </w:r>
      <w:r w:rsidR="002E216D" w:rsidRPr="002E216D">
        <w:rPr>
          <w:rFonts w:ascii="Trebuchet MS" w:hAnsi="Trebuchet MS"/>
          <w:sz w:val="24"/>
          <w:szCs w:val="24"/>
        </w:rPr>
        <w:t>,</w:t>
      </w:r>
      <w:r w:rsidRPr="002E216D">
        <w:rPr>
          <w:rFonts w:ascii="Trebuchet MS" w:hAnsi="Trebuchet MS"/>
          <w:sz w:val="24"/>
          <w:szCs w:val="24"/>
        </w:rPr>
        <w:t xml:space="preserve"> is now available. We will continue to update the annexes over the next </w:t>
      </w:r>
      <w:r w:rsidR="002E216D" w:rsidRPr="002E216D">
        <w:rPr>
          <w:rFonts w:ascii="Trebuchet MS" w:hAnsi="Trebuchet MS"/>
          <w:sz w:val="24"/>
          <w:szCs w:val="24"/>
        </w:rPr>
        <w:t>few weeks. P</w:t>
      </w:r>
      <w:r w:rsidRPr="002E216D">
        <w:rPr>
          <w:rFonts w:ascii="Trebuchet MS" w:hAnsi="Trebuchet MS"/>
          <w:sz w:val="24"/>
          <w:szCs w:val="24"/>
        </w:rPr>
        <w:t xml:space="preserve">lease keep checking the Guide to Delivering European Funding for updates. </w:t>
      </w:r>
    </w:p>
    <w:p w14:paraId="2C2E4748" w14:textId="77777777" w:rsidR="00C86C73" w:rsidRDefault="00C86C73"/>
    <w:p w14:paraId="06716482" w14:textId="77777777" w:rsidR="00C86C73" w:rsidRDefault="00C86C73">
      <w:r>
        <w:t xml:space="preserve"> </w:t>
      </w:r>
    </w:p>
    <w:p w14:paraId="4729906A" w14:textId="77777777" w:rsidR="00C86C73" w:rsidRDefault="00C86C73"/>
    <w:p w14:paraId="20960D66" w14:textId="77777777" w:rsidR="001A6EB5" w:rsidRPr="004D4C4E" w:rsidRDefault="001A6EB5"/>
    <w:sectPr w:rsidR="001A6EB5" w:rsidRPr="004D4C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C4E"/>
    <w:rsid w:val="00047117"/>
    <w:rsid w:val="00132AB6"/>
    <w:rsid w:val="001A6EB5"/>
    <w:rsid w:val="002778D8"/>
    <w:rsid w:val="00286E6A"/>
    <w:rsid w:val="002E216D"/>
    <w:rsid w:val="004D4C4E"/>
    <w:rsid w:val="00556E3D"/>
    <w:rsid w:val="0078258D"/>
    <w:rsid w:val="007A4145"/>
    <w:rsid w:val="007A50FC"/>
    <w:rsid w:val="00A1034D"/>
    <w:rsid w:val="00BA10A6"/>
    <w:rsid w:val="00C41586"/>
    <w:rsid w:val="00C86C73"/>
    <w:rsid w:val="00F221A3"/>
    <w:rsid w:val="00F53B34"/>
    <w:rsid w:val="00FF2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7F9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8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22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european-structural-and-investment-funds-document-retention" TargetMode="External"/><Relationship Id="rId5" Type="http://schemas.openxmlformats.org/officeDocument/2006/relationships/hyperlink" Target="https://www.tnlcommunityfund.org.uk/funding/programmes/building-better-opportunities/guide-to-delivering-european-fundin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2021-12-14T14:36:00Z</dcterms:created>
  <dcterms:modified xsi:type="dcterms:W3CDTF">2021-12-14T14:36:00Z</dcterms:modified>
</cp:coreProperties>
</file>