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1DA8AC" w14:textId="77777777" w:rsidR="004D183A" w:rsidRDefault="004D183A" w:rsidP="004D183A">
      <w:pPr>
        <w:spacing w:line="360" w:lineRule="auto"/>
        <w:rPr>
          <w:rFonts w:ascii="Arial" w:hAnsi="Arial" w:cs="Arial"/>
          <w:b/>
          <w:bCs/>
          <w:color w:val="333333"/>
          <w:sz w:val="20"/>
          <w:szCs w:val="20"/>
          <w:u w:val="single"/>
        </w:rPr>
      </w:pPr>
    </w:p>
    <w:p w14:paraId="73DC7CF0" w14:textId="77777777" w:rsidR="004D183A" w:rsidRDefault="004D183A" w:rsidP="004D183A">
      <w:pPr>
        <w:spacing w:line="360" w:lineRule="auto"/>
        <w:rPr>
          <w:rFonts w:ascii="Arial" w:hAnsi="Arial" w:cs="Arial"/>
          <w:b/>
          <w:bCs/>
          <w:color w:val="333333"/>
          <w:sz w:val="20"/>
          <w:szCs w:val="20"/>
          <w:u w:val="single"/>
        </w:rPr>
      </w:pPr>
    </w:p>
    <w:p w14:paraId="6CB1F4B4" w14:textId="77777777" w:rsidR="004D183A" w:rsidRDefault="004D183A" w:rsidP="004D183A">
      <w:pPr>
        <w:spacing w:line="360" w:lineRule="auto"/>
        <w:rPr>
          <w:rFonts w:ascii="Arial" w:hAnsi="Arial" w:cs="Arial"/>
          <w:b/>
          <w:bCs/>
          <w:color w:val="333333"/>
          <w:sz w:val="20"/>
          <w:szCs w:val="20"/>
          <w:u w:val="single"/>
        </w:rPr>
      </w:pPr>
    </w:p>
    <w:p w14:paraId="02057E6D" w14:textId="77777777" w:rsidR="004D183A" w:rsidRPr="003B68F1" w:rsidRDefault="004D183A" w:rsidP="003B68F1">
      <w:pPr>
        <w:spacing w:line="360" w:lineRule="auto"/>
        <w:rPr>
          <w:rFonts w:ascii="Arial" w:hAnsi="Arial" w:cs="Arial"/>
          <w:b/>
          <w:bCs/>
          <w:color w:val="000000" w:themeColor="text1"/>
        </w:rPr>
      </w:pPr>
    </w:p>
    <w:p w14:paraId="27CFD7C4" w14:textId="77777777" w:rsidR="004D183A" w:rsidRDefault="004D183A" w:rsidP="003B68F1">
      <w:pPr>
        <w:spacing w:line="360" w:lineRule="auto"/>
        <w:rPr>
          <w:rFonts w:ascii="Trebuchet MS" w:hAnsi="Trebuchet MS" w:cs="Arial"/>
          <w:b/>
          <w:bCs/>
          <w:sz w:val="28"/>
          <w:szCs w:val="28"/>
        </w:rPr>
      </w:pPr>
      <w:bookmarkStart w:id="0" w:name="_Hlk14075842"/>
      <w:r w:rsidRPr="00A02DD4">
        <w:rPr>
          <w:rFonts w:ascii="Trebuchet MS" w:hAnsi="Trebuchet MS" w:cs="Arial"/>
          <w:b/>
          <w:bCs/>
          <w:sz w:val="28"/>
          <w:szCs w:val="28"/>
        </w:rPr>
        <w:t xml:space="preserve">Essential Update </w:t>
      </w:r>
      <w:r w:rsidR="00150579">
        <w:rPr>
          <w:rFonts w:ascii="Trebuchet MS" w:hAnsi="Trebuchet MS" w:cs="Arial"/>
          <w:b/>
          <w:bCs/>
          <w:sz w:val="28"/>
          <w:szCs w:val="28"/>
        </w:rPr>
        <w:t>August</w:t>
      </w:r>
      <w:r w:rsidRPr="00A02DD4">
        <w:rPr>
          <w:rFonts w:ascii="Trebuchet MS" w:hAnsi="Trebuchet MS" w:cs="Arial"/>
          <w:b/>
          <w:bCs/>
          <w:sz w:val="28"/>
          <w:szCs w:val="28"/>
        </w:rPr>
        <w:t xml:space="preserve"> 2019 –</w:t>
      </w:r>
      <w:r w:rsidR="00EC11F7">
        <w:rPr>
          <w:rFonts w:ascii="Trebuchet MS" w:hAnsi="Trebuchet MS" w:cs="Arial"/>
          <w:b/>
          <w:bCs/>
          <w:sz w:val="28"/>
          <w:szCs w:val="28"/>
        </w:rPr>
        <w:t xml:space="preserve"> </w:t>
      </w:r>
      <w:r w:rsidR="00150579">
        <w:rPr>
          <w:rFonts w:ascii="Trebuchet MS" w:hAnsi="Trebuchet MS" w:cs="Arial"/>
          <w:b/>
          <w:bCs/>
          <w:sz w:val="28"/>
          <w:szCs w:val="28"/>
        </w:rPr>
        <w:t>Focus on Procurement</w:t>
      </w:r>
    </w:p>
    <w:bookmarkEnd w:id="0"/>
    <w:p w14:paraId="6B954E93" w14:textId="77777777" w:rsidR="00EC11F7" w:rsidRDefault="00EC11F7" w:rsidP="003B68F1">
      <w:pPr>
        <w:spacing w:line="360" w:lineRule="auto"/>
        <w:rPr>
          <w:rFonts w:ascii="Trebuchet MS" w:hAnsi="Trebuchet MS" w:cs="Arial"/>
          <w:b/>
          <w:bCs/>
          <w:color w:val="000000" w:themeColor="text1"/>
          <w:sz w:val="24"/>
          <w:szCs w:val="24"/>
          <w:u w:val="single"/>
        </w:rPr>
      </w:pPr>
    </w:p>
    <w:p w14:paraId="59F43C1C" w14:textId="77777777" w:rsidR="00150579" w:rsidRPr="00150579" w:rsidRDefault="00150579" w:rsidP="00150579">
      <w:pPr>
        <w:spacing w:line="360" w:lineRule="auto"/>
        <w:rPr>
          <w:rFonts w:ascii="Trebuchet MS" w:hAnsi="Trebuchet MS" w:cs="Arial"/>
          <w:b/>
          <w:color w:val="E6007E"/>
          <w:sz w:val="28"/>
          <w:szCs w:val="28"/>
        </w:rPr>
      </w:pPr>
      <w:bookmarkStart w:id="1" w:name="_Hlk14075684"/>
      <w:r>
        <w:rPr>
          <w:rFonts w:ascii="Trebuchet MS" w:hAnsi="Trebuchet MS" w:cs="Arial"/>
          <w:b/>
          <w:color w:val="E6007E"/>
          <w:sz w:val="28"/>
          <w:szCs w:val="28"/>
        </w:rPr>
        <w:t>Focus on Procurement</w:t>
      </w:r>
      <w:bookmarkEnd w:id="1"/>
    </w:p>
    <w:p w14:paraId="09B2EECB" w14:textId="77777777" w:rsidR="00150579" w:rsidRDefault="00150579" w:rsidP="00150579">
      <w:pPr>
        <w:spacing w:line="360" w:lineRule="auto"/>
        <w:textAlignment w:val="baseline"/>
        <w:rPr>
          <w:rFonts w:ascii="Trebuchet MS" w:eastAsia="Times New Roman" w:hAnsi="Trebuchet MS" w:cs="Segoe UI"/>
          <w:lang w:eastAsia="en-GB"/>
        </w:rPr>
      </w:pPr>
      <w:r w:rsidRPr="00150579">
        <w:rPr>
          <w:rFonts w:ascii="Trebuchet MS" w:eastAsia="Times New Roman" w:hAnsi="Trebuchet MS" w:cs="Segoe UI"/>
          <w:lang w:eastAsia="en-GB"/>
        </w:rPr>
        <w:t>There is an increasing focus on procurement by the A127 and A125 teams, while the sampling methodology remains random, should a line be picked that was procured, </w:t>
      </w:r>
      <w:r w:rsidRPr="00150579">
        <w:rPr>
          <w:rFonts w:ascii="Trebuchet MS" w:eastAsia="Times New Roman" w:hAnsi="Trebuchet MS" w:cs="Segoe UI"/>
          <w:b/>
          <w:bCs/>
          <w:lang w:eastAsia="en-GB"/>
        </w:rPr>
        <w:t>a full suite of procurement documentation</w:t>
      </w:r>
      <w:r w:rsidRPr="00150579">
        <w:rPr>
          <w:rFonts w:ascii="Trebuchet MS" w:eastAsia="Times New Roman" w:hAnsi="Trebuchet MS" w:cs="Segoe UI"/>
          <w:lang w:eastAsia="en-GB"/>
        </w:rPr>
        <w:t> will need to be provided as evidence.  </w:t>
      </w:r>
    </w:p>
    <w:p w14:paraId="307F9573" w14:textId="77777777" w:rsidR="00150579" w:rsidRPr="00150579" w:rsidRDefault="00150579" w:rsidP="00150579">
      <w:pPr>
        <w:spacing w:line="360" w:lineRule="auto"/>
        <w:textAlignment w:val="baseline"/>
        <w:rPr>
          <w:rFonts w:ascii="Trebuchet MS" w:eastAsia="Times New Roman" w:hAnsi="Trebuchet MS" w:cs="Segoe UI"/>
          <w:lang w:eastAsia="en-GB"/>
        </w:rPr>
      </w:pPr>
    </w:p>
    <w:p w14:paraId="29951CFE" w14:textId="77777777" w:rsidR="00150579" w:rsidRDefault="00150579" w:rsidP="00150579">
      <w:pPr>
        <w:spacing w:line="360" w:lineRule="auto"/>
        <w:textAlignment w:val="baseline"/>
        <w:rPr>
          <w:rFonts w:ascii="Trebuchet MS" w:eastAsia="Times New Roman" w:hAnsi="Trebuchet MS" w:cs="Segoe UI"/>
          <w:lang w:eastAsia="en-GB"/>
        </w:rPr>
      </w:pPr>
      <w:r w:rsidRPr="00150579">
        <w:rPr>
          <w:rFonts w:ascii="Trebuchet MS" w:eastAsia="Times New Roman" w:hAnsi="Trebuchet MS" w:cs="Segoe UI"/>
          <w:lang w:eastAsia="en-GB"/>
        </w:rPr>
        <w:t>Additionally the teams will need assurance the correct methodology was followed as set out in the </w:t>
      </w:r>
      <w:hyperlink r:id="rId7" w:tgtFrame="_blank" w:history="1">
        <w:r w:rsidRPr="00150579">
          <w:rPr>
            <w:rFonts w:ascii="Trebuchet MS" w:eastAsia="Times New Roman" w:hAnsi="Trebuchet MS" w:cs="Segoe UI"/>
            <w:color w:val="0563C1"/>
            <w:u w:val="single"/>
            <w:lang w:eastAsia="en-GB"/>
          </w:rPr>
          <w:t>ESF procurement guidance</w:t>
        </w:r>
      </w:hyperlink>
      <w:r w:rsidRPr="00150579">
        <w:rPr>
          <w:rFonts w:ascii="Trebuchet MS" w:eastAsia="Times New Roman" w:hAnsi="Trebuchet MS" w:cs="Segoe UI"/>
          <w:lang w:eastAsia="en-GB"/>
        </w:rPr>
        <w:t> depending on whether the organisation is a contracting authority or not. </w:t>
      </w:r>
    </w:p>
    <w:p w14:paraId="5886094C" w14:textId="77777777" w:rsidR="00150579" w:rsidRPr="00150579" w:rsidRDefault="00150579" w:rsidP="00150579">
      <w:pPr>
        <w:spacing w:line="360" w:lineRule="auto"/>
        <w:textAlignment w:val="baseline"/>
        <w:rPr>
          <w:rFonts w:ascii="Trebuchet MS" w:eastAsia="Times New Roman" w:hAnsi="Trebuchet MS" w:cs="Segoe UI"/>
          <w:lang w:eastAsia="en-GB"/>
        </w:rPr>
      </w:pPr>
    </w:p>
    <w:p w14:paraId="291F9E53" w14:textId="77777777" w:rsidR="00150579" w:rsidRDefault="00150579" w:rsidP="00150579">
      <w:pPr>
        <w:spacing w:line="360" w:lineRule="auto"/>
        <w:textAlignment w:val="baseline"/>
        <w:rPr>
          <w:rFonts w:ascii="Trebuchet MS" w:eastAsia="Times New Roman" w:hAnsi="Trebuchet MS" w:cs="Segoe UI"/>
          <w:lang w:eastAsia="en-GB"/>
        </w:rPr>
      </w:pPr>
      <w:r w:rsidRPr="00150579">
        <w:rPr>
          <w:rFonts w:ascii="Trebuchet MS" w:eastAsia="Times New Roman" w:hAnsi="Trebuchet MS" w:cs="Segoe UI"/>
          <w:lang w:eastAsia="en-GB"/>
        </w:rPr>
        <w:t>The ESF procurement guidance is clear that ESF grant recipients (both leads and partners for BBO) prior to procurement must determine if the organisation is within the definition of a “contracting authority” </w:t>
      </w:r>
      <w:hyperlink r:id="rId8" w:tgtFrame="_blank" w:history="1">
        <w:r w:rsidRPr="00150579">
          <w:rPr>
            <w:rFonts w:ascii="Trebuchet MS" w:eastAsia="Times New Roman" w:hAnsi="Trebuchet MS" w:cs="Segoe UI"/>
            <w:color w:val="0563C1"/>
            <w:u w:val="single"/>
            <w:lang w:eastAsia="en-GB"/>
          </w:rPr>
          <w:t>under Regulation 2(1) of the Public Contracts Regulations 2015</w:t>
        </w:r>
      </w:hyperlink>
      <w:r w:rsidRPr="00150579">
        <w:rPr>
          <w:rFonts w:ascii="Trebuchet MS" w:eastAsia="Times New Roman" w:hAnsi="Trebuchet MS" w:cs="Segoe UI"/>
          <w:lang w:eastAsia="en-GB"/>
        </w:rPr>
        <w:t> or Regulation 3 of the </w:t>
      </w:r>
      <w:hyperlink r:id="rId9" w:tgtFrame="_blank" w:history="1">
        <w:r w:rsidRPr="00150579">
          <w:rPr>
            <w:rFonts w:ascii="Trebuchet MS" w:eastAsia="Times New Roman" w:hAnsi="Trebuchet MS" w:cs="Segoe UI"/>
            <w:color w:val="0563C1"/>
            <w:u w:val="single"/>
            <w:lang w:eastAsia="en-GB"/>
          </w:rPr>
          <w:t>Public Contracts Regulations 2006</w:t>
        </w:r>
      </w:hyperlink>
      <w:r w:rsidRPr="00150579">
        <w:rPr>
          <w:rFonts w:ascii="Trebuchet MS" w:eastAsia="Times New Roman" w:hAnsi="Trebuchet MS" w:cs="Segoe UI"/>
          <w:lang w:eastAsia="en-GB"/>
        </w:rPr>
        <w:t>. This status will determine the procurement methodology that needs to be followed depending on the value of the contract or contract extension and the financial corrections for failure to comply with requirements. </w:t>
      </w:r>
    </w:p>
    <w:p w14:paraId="3D099757" w14:textId="77777777" w:rsidR="00150579" w:rsidRPr="00150579" w:rsidRDefault="00150579" w:rsidP="00150579">
      <w:pPr>
        <w:spacing w:line="360" w:lineRule="auto"/>
        <w:textAlignment w:val="baseline"/>
        <w:rPr>
          <w:rFonts w:ascii="Trebuchet MS" w:eastAsia="Times New Roman" w:hAnsi="Trebuchet MS" w:cs="Segoe UI"/>
          <w:lang w:eastAsia="en-GB"/>
        </w:rPr>
      </w:pPr>
    </w:p>
    <w:p w14:paraId="33FFBF7F" w14:textId="77777777" w:rsidR="00150579" w:rsidRDefault="00150579" w:rsidP="00150579">
      <w:pPr>
        <w:spacing w:line="360" w:lineRule="auto"/>
        <w:textAlignment w:val="baseline"/>
        <w:rPr>
          <w:rFonts w:ascii="Trebuchet MS" w:eastAsia="Times New Roman" w:hAnsi="Trebuchet MS" w:cs="Segoe UI"/>
          <w:lang w:eastAsia="en-GB"/>
        </w:rPr>
      </w:pPr>
      <w:r w:rsidRPr="00150579">
        <w:rPr>
          <w:rFonts w:ascii="Trebuchet MS" w:eastAsia="Times New Roman" w:hAnsi="Trebuchet MS" w:cs="Segoe UI"/>
          <w:lang w:eastAsia="en-GB"/>
        </w:rPr>
        <w:t>As the Fund is unable to provide procurement advice, </w:t>
      </w:r>
      <w:r w:rsidRPr="00150579">
        <w:rPr>
          <w:rFonts w:ascii="Trebuchet MS" w:eastAsia="Times New Roman" w:hAnsi="Trebuchet MS" w:cs="Segoe UI"/>
          <w:b/>
          <w:bCs/>
          <w:lang w:eastAsia="en-GB"/>
        </w:rPr>
        <w:t>we recommend that organisations take legal advice to determine whether or not they would be considered a contracting authority</w:t>
      </w:r>
      <w:r w:rsidRPr="00150579">
        <w:rPr>
          <w:rFonts w:ascii="Trebuchet MS" w:eastAsia="Times New Roman" w:hAnsi="Trebuchet MS" w:cs="Segoe UI"/>
          <w:lang w:eastAsia="en-GB"/>
        </w:rPr>
        <w:t>. This will help prevent potential financial corrections in the future. </w:t>
      </w:r>
    </w:p>
    <w:p w14:paraId="75622B46" w14:textId="77777777" w:rsidR="00150579" w:rsidRPr="00150579" w:rsidRDefault="00150579" w:rsidP="00150579">
      <w:pPr>
        <w:spacing w:line="360" w:lineRule="auto"/>
        <w:textAlignment w:val="baseline"/>
        <w:rPr>
          <w:rFonts w:ascii="Trebuchet MS" w:eastAsia="Times New Roman" w:hAnsi="Trebuchet MS" w:cs="Segoe UI"/>
          <w:lang w:eastAsia="en-GB"/>
        </w:rPr>
      </w:pPr>
    </w:p>
    <w:p w14:paraId="522308DA" w14:textId="77777777" w:rsidR="00150579" w:rsidRDefault="00150579" w:rsidP="00150579">
      <w:pPr>
        <w:spacing w:line="360" w:lineRule="auto"/>
        <w:textAlignment w:val="baseline"/>
        <w:rPr>
          <w:rFonts w:ascii="Trebuchet MS" w:eastAsia="Times New Roman" w:hAnsi="Trebuchet MS" w:cs="Segoe UI"/>
          <w:lang w:eastAsia="en-GB"/>
        </w:rPr>
      </w:pPr>
      <w:r w:rsidRPr="00150579">
        <w:rPr>
          <w:rFonts w:ascii="Trebuchet MS" w:eastAsia="Times New Roman" w:hAnsi="Trebuchet MS" w:cs="Segoe UI"/>
          <w:lang w:eastAsia="en-GB"/>
        </w:rPr>
        <w:t>You may be aware that the Managing Authority recently released an action note </w:t>
      </w:r>
      <w:hyperlink r:id="rId10" w:tgtFrame="_blank" w:history="1">
        <w:r w:rsidRPr="00150579">
          <w:rPr>
            <w:rFonts w:ascii="Trebuchet MS" w:eastAsia="Times New Roman" w:hAnsi="Trebuchet MS" w:cs="Segoe UI"/>
            <w:color w:val="0563C1"/>
            <w:u w:val="single"/>
            <w:lang w:eastAsia="en-GB"/>
          </w:rPr>
          <w:t>‘039-19 Revised EU Procurement Requirements’</w:t>
        </w:r>
      </w:hyperlink>
      <w:r w:rsidRPr="00150579">
        <w:rPr>
          <w:rFonts w:ascii="Trebuchet MS" w:eastAsia="Times New Roman" w:hAnsi="Trebuchet MS" w:cs="Segoe UI"/>
          <w:lang w:eastAsia="en-GB"/>
        </w:rPr>
        <w:t> this outlines changes made to financial corrections that can be levied for failure to comply with the </w:t>
      </w:r>
      <w:hyperlink r:id="rId11" w:tgtFrame="_blank" w:history="1">
        <w:r w:rsidRPr="00150579">
          <w:rPr>
            <w:rFonts w:ascii="Trebuchet MS" w:eastAsia="Times New Roman" w:hAnsi="Trebuchet MS" w:cs="Segoe UI"/>
            <w:color w:val="0563C1"/>
            <w:u w:val="single"/>
            <w:lang w:eastAsia="en-GB"/>
          </w:rPr>
          <w:t>ESF procurement guidance</w:t>
        </w:r>
      </w:hyperlink>
      <w:r w:rsidRPr="00150579">
        <w:rPr>
          <w:rFonts w:ascii="Trebuchet MS" w:eastAsia="Times New Roman" w:hAnsi="Trebuchet MS" w:cs="Segoe UI"/>
          <w:lang w:eastAsia="en-GB"/>
        </w:rPr>
        <w:t>. These corrections would be raised as a result of issues found by A125 and A127 checks. The changes to financial corrections are being cascaded down following a change in guidance by the European Commission. </w:t>
      </w:r>
    </w:p>
    <w:p w14:paraId="251766BE" w14:textId="77777777" w:rsidR="00150579" w:rsidRDefault="00150579" w:rsidP="00150579">
      <w:pPr>
        <w:spacing w:line="360" w:lineRule="auto"/>
        <w:textAlignment w:val="baseline"/>
        <w:rPr>
          <w:rFonts w:ascii="Trebuchet MS" w:eastAsia="Times New Roman" w:hAnsi="Trebuchet MS" w:cs="Segoe UI"/>
          <w:lang w:eastAsia="en-GB"/>
        </w:rPr>
      </w:pPr>
    </w:p>
    <w:p w14:paraId="0DCD4ECF" w14:textId="77777777" w:rsidR="00150579" w:rsidRDefault="00150579" w:rsidP="00150579">
      <w:pPr>
        <w:spacing w:line="360" w:lineRule="auto"/>
        <w:textAlignment w:val="baseline"/>
        <w:rPr>
          <w:rFonts w:ascii="Trebuchet MS" w:eastAsia="Times New Roman" w:hAnsi="Trebuchet MS" w:cs="Segoe UI"/>
          <w:lang w:eastAsia="en-GB"/>
        </w:rPr>
      </w:pPr>
    </w:p>
    <w:p w14:paraId="18550F21" w14:textId="77777777" w:rsidR="00150579" w:rsidRDefault="00150579" w:rsidP="00150579">
      <w:pPr>
        <w:spacing w:line="360" w:lineRule="auto"/>
        <w:textAlignment w:val="baseline"/>
        <w:rPr>
          <w:rFonts w:ascii="Trebuchet MS" w:eastAsia="Times New Roman" w:hAnsi="Trebuchet MS" w:cs="Segoe UI"/>
          <w:lang w:eastAsia="en-GB"/>
        </w:rPr>
      </w:pPr>
    </w:p>
    <w:p w14:paraId="123213BF" w14:textId="77777777" w:rsidR="00150579" w:rsidRDefault="00150579" w:rsidP="00150579">
      <w:pPr>
        <w:spacing w:line="360" w:lineRule="auto"/>
        <w:textAlignment w:val="baseline"/>
        <w:rPr>
          <w:rFonts w:ascii="Trebuchet MS" w:eastAsia="Times New Roman" w:hAnsi="Trebuchet MS" w:cs="Segoe UI"/>
          <w:lang w:eastAsia="en-GB"/>
        </w:rPr>
      </w:pPr>
    </w:p>
    <w:p w14:paraId="262C470D" w14:textId="77777777" w:rsidR="00150579" w:rsidRDefault="00150579" w:rsidP="00150579">
      <w:pPr>
        <w:spacing w:line="360" w:lineRule="auto"/>
        <w:textAlignment w:val="baseline"/>
        <w:rPr>
          <w:rFonts w:ascii="Trebuchet MS" w:eastAsia="Times New Roman" w:hAnsi="Trebuchet MS" w:cs="Segoe UI"/>
          <w:lang w:eastAsia="en-GB"/>
        </w:rPr>
      </w:pPr>
    </w:p>
    <w:p w14:paraId="0BAE8E33" w14:textId="77777777" w:rsidR="00150579" w:rsidRPr="00150579" w:rsidRDefault="00150579" w:rsidP="00150579">
      <w:pPr>
        <w:spacing w:line="360" w:lineRule="auto"/>
        <w:textAlignment w:val="baseline"/>
        <w:rPr>
          <w:rFonts w:ascii="Trebuchet MS" w:eastAsia="Times New Roman" w:hAnsi="Trebuchet MS" w:cs="Segoe UI"/>
          <w:lang w:eastAsia="en-GB"/>
        </w:rPr>
      </w:pPr>
    </w:p>
    <w:p w14:paraId="4291F126" w14:textId="77777777" w:rsidR="00150579" w:rsidRPr="00150579" w:rsidRDefault="00150579" w:rsidP="00150579">
      <w:pPr>
        <w:spacing w:line="360" w:lineRule="auto"/>
        <w:textAlignment w:val="baseline"/>
        <w:rPr>
          <w:rFonts w:ascii="Trebuchet MS" w:eastAsia="Times New Roman" w:hAnsi="Trebuchet MS" w:cs="Segoe UI"/>
          <w:lang w:eastAsia="en-GB"/>
        </w:rPr>
      </w:pPr>
      <w:r w:rsidRPr="00150579">
        <w:rPr>
          <w:rFonts w:ascii="Trebuchet MS" w:eastAsia="Times New Roman" w:hAnsi="Trebuchet MS" w:cs="Segoe UI"/>
          <w:b/>
          <w:bCs/>
          <w:u w:val="single"/>
          <w:lang w:eastAsia="en-GB"/>
        </w:rPr>
        <w:t>The following is taken verbatim from action note 039-19</w:t>
      </w:r>
      <w:r w:rsidRPr="00150579">
        <w:rPr>
          <w:rFonts w:ascii="Trebuchet MS" w:eastAsia="Times New Roman" w:hAnsi="Trebuchet MS" w:cs="Segoe UI"/>
          <w:lang w:eastAsia="en-GB"/>
        </w:rPr>
        <w:t>: </w:t>
      </w:r>
    </w:p>
    <w:p w14:paraId="73DD289A" w14:textId="77777777" w:rsidR="00150579" w:rsidRPr="00150579" w:rsidRDefault="00150579" w:rsidP="00150579">
      <w:pPr>
        <w:spacing w:line="360" w:lineRule="auto"/>
        <w:textAlignment w:val="baseline"/>
        <w:rPr>
          <w:rFonts w:ascii="Trebuchet MS" w:eastAsia="Times New Roman" w:hAnsi="Trebuchet MS" w:cs="Arial"/>
          <w:b/>
          <w:bCs/>
          <w:i/>
          <w:iCs/>
          <w:color w:val="000000"/>
          <w:lang w:eastAsia="en-GB"/>
        </w:rPr>
      </w:pPr>
    </w:p>
    <w:p w14:paraId="066B8812" w14:textId="77777777" w:rsidR="00150579" w:rsidRPr="00150579" w:rsidRDefault="00150579" w:rsidP="00150579">
      <w:pPr>
        <w:spacing w:line="360" w:lineRule="auto"/>
        <w:textAlignment w:val="baseline"/>
        <w:rPr>
          <w:rFonts w:ascii="Trebuchet MS" w:eastAsia="Times New Roman" w:hAnsi="Trebuchet MS" w:cs="Segoe UI"/>
          <w:color w:val="000000"/>
          <w:lang w:eastAsia="en-GB"/>
        </w:rPr>
      </w:pPr>
      <w:r w:rsidRPr="00150579">
        <w:rPr>
          <w:rFonts w:ascii="Trebuchet MS" w:eastAsia="Times New Roman" w:hAnsi="Trebuchet MS" w:cs="Arial"/>
          <w:b/>
          <w:bCs/>
          <w:i/>
          <w:iCs/>
          <w:color w:val="000000"/>
          <w:lang w:eastAsia="en-GB"/>
        </w:rPr>
        <w:t>Purpose of the guidelines </w:t>
      </w:r>
      <w:r w:rsidRPr="00150579">
        <w:rPr>
          <w:rFonts w:ascii="Trebuchet MS" w:eastAsia="Times New Roman" w:hAnsi="Trebuchet MS" w:cs="Arial"/>
          <w:color w:val="000000"/>
          <w:lang w:eastAsia="en-GB"/>
        </w:rPr>
        <w:t> </w:t>
      </w:r>
    </w:p>
    <w:p w14:paraId="664FD235" w14:textId="77777777" w:rsidR="00150579" w:rsidRPr="00150579" w:rsidRDefault="00150579" w:rsidP="00150579">
      <w:pPr>
        <w:spacing w:line="360" w:lineRule="auto"/>
        <w:textAlignment w:val="baseline"/>
        <w:rPr>
          <w:rFonts w:ascii="Trebuchet MS" w:eastAsia="Times New Roman" w:hAnsi="Trebuchet MS" w:cs="Segoe UI"/>
          <w:color w:val="000000"/>
          <w:lang w:eastAsia="en-GB"/>
        </w:rPr>
      </w:pPr>
      <w:r w:rsidRPr="00150579">
        <w:rPr>
          <w:rFonts w:ascii="Trebuchet MS" w:eastAsia="Times New Roman" w:hAnsi="Trebuchet MS" w:cs="Arial"/>
          <w:color w:val="000000"/>
          <w:lang w:eastAsia="en-GB"/>
        </w:rPr>
        <w:t> </w:t>
      </w:r>
    </w:p>
    <w:p w14:paraId="1F4039E3" w14:textId="77777777" w:rsidR="00150579" w:rsidRPr="00150579" w:rsidRDefault="00150579" w:rsidP="00150579">
      <w:pPr>
        <w:spacing w:line="360" w:lineRule="auto"/>
        <w:textAlignment w:val="baseline"/>
        <w:rPr>
          <w:rFonts w:ascii="Trebuchet MS" w:eastAsia="Times New Roman" w:hAnsi="Trebuchet MS" w:cs="Segoe UI"/>
          <w:color w:val="000000"/>
          <w:lang w:eastAsia="en-GB"/>
        </w:rPr>
      </w:pPr>
      <w:r w:rsidRPr="00150579">
        <w:rPr>
          <w:rFonts w:ascii="Trebuchet MS" w:eastAsia="Times New Roman" w:hAnsi="Trebuchet MS" w:cs="Segoe UI"/>
          <w:i/>
          <w:iCs/>
          <w:color w:val="000000"/>
          <w:lang w:eastAsia="en-GB"/>
        </w:rPr>
        <w:t>The general purpose of the revised Commission Decision on financial corrections for Procurement breaches is two-fold: </w:t>
      </w:r>
      <w:r w:rsidRPr="00150579">
        <w:rPr>
          <w:rFonts w:ascii="Trebuchet MS" w:eastAsia="Times New Roman" w:hAnsi="Trebuchet MS" w:cs="Segoe UI"/>
          <w:color w:val="000000"/>
          <w:lang w:eastAsia="en-GB"/>
        </w:rPr>
        <w:t> </w:t>
      </w:r>
    </w:p>
    <w:p w14:paraId="7DF96BE3" w14:textId="77777777" w:rsidR="00150579" w:rsidRPr="00150579" w:rsidRDefault="00150579" w:rsidP="00150579">
      <w:pPr>
        <w:numPr>
          <w:ilvl w:val="0"/>
          <w:numId w:val="1"/>
        </w:numPr>
        <w:spacing w:line="360" w:lineRule="auto"/>
        <w:ind w:left="420"/>
        <w:textAlignment w:val="baseline"/>
        <w:rPr>
          <w:rFonts w:ascii="Trebuchet MS" w:eastAsia="Times New Roman" w:hAnsi="Trebuchet MS" w:cs="Segoe UI"/>
          <w:color w:val="000000"/>
          <w:lang w:eastAsia="en-GB"/>
        </w:rPr>
      </w:pPr>
      <w:r w:rsidRPr="00150579">
        <w:rPr>
          <w:rFonts w:ascii="Trebuchet MS" w:eastAsia="Times New Roman" w:hAnsi="Trebuchet MS" w:cs="Segoe UI"/>
          <w:i/>
          <w:iCs/>
          <w:color w:val="000000"/>
          <w:lang w:eastAsia="en-GB"/>
        </w:rPr>
        <w:t>to increase </w:t>
      </w:r>
      <w:r w:rsidRPr="00150579">
        <w:rPr>
          <w:rFonts w:ascii="Trebuchet MS" w:eastAsia="Times New Roman" w:hAnsi="Trebuchet MS" w:cs="Segoe UI"/>
          <w:b/>
          <w:bCs/>
          <w:i/>
          <w:iCs/>
          <w:color w:val="000000"/>
          <w:lang w:eastAsia="en-GB"/>
        </w:rPr>
        <w:t>legal certainty </w:t>
      </w:r>
      <w:r w:rsidRPr="00150579">
        <w:rPr>
          <w:rFonts w:ascii="Trebuchet MS" w:eastAsia="Times New Roman" w:hAnsi="Trebuchet MS" w:cs="Segoe UI"/>
          <w:i/>
          <w:iCs/>
          <w:color w:val="000000"/>
          <w:lang w:eastAsia="en-GB"/>
        </w:rPr>
        <w:t>for the Member States. </w:t>
      </w:r>
      <w:r w:rsidRPr="00150579">
        <w:rPr>
          <w:rFonts w:ascii="Trebuchet MS" w:eastAsia="Times New Roman" w:hAnsi="Trebuchet MS" w:cs="Segoe UI"/>
          <w:color w:val="000000"/>
          <w:lang w:eastAsia="en-GB"/>
        </w:rPr>
        <w:t> </w:t>
      </w:r>
    </w:p>
    <w:p w14:paraId="64ACED08" w14:textId="77777777" w:rsidR="00150579" w:rsidRPr="00150579" w:rsidRDefault="00150579" w:rsidP="00150579">
      <w:pPr>
        <w:spacing w:line="360" w:lineRule="auto"/>
        <w:textAlignment w:val="baseline"/>
        <w:rPr>
          <w:rFonts w:ascii="Trebuchet MS" w:eastAsia="Times New Roman" w:hAnsi="Trebuchet MS" w:cs="Segoe UI"/>
          <w:color w:val="000000"/>
          <w:lang w:eastAsia="en-GB"/>
        </w:rPr>
      </w:pPr>
      <w:r w:rsidRPr="00150579">
        <w:rPr>
          <w:rFonts w:ascii="Trebuchet MS" w:eastAsia="Times New Roman" w:hAnsi="Trebuchet MS" w:cs="Segoe UI"/>
          <w:color w:val="000000"/>
          <w:lang w:eastAsia="en-GB"/>
        </w:rPr>
        <w:t> </w:t>
      </w:r>
    </w:p>
    <w:p w14:paraId="590E38A0" w14:textId="77777777" w:rsidR="00150579" w:rsidRPr="00150579" w:rsidRDefault="00150579" w:rsidP="00150579">
      <w:pPr>
        <w:spacing w:line="360" w:lineRule="auto"/>
        <w:textAlignment w:val="baseline"/>
        <w:rPr>
          <w:rFonts w:ascii="Trebuchet MS" w:eastAsia="Times New Roman" w:hAnsi="Trebuchet MS" w:cs="Segoe UI"/>
          <w:color w:val="000000"/>
          <w:lang w:eastAsia="en-GB"/>
        </w:rPr>
      </w:pPr>
      <w:r w:rsidRPr="00150579">
        <w:rPr>
          <w:rFonts w:ascii="Trebuchet MS" w:eastAsia="Times New Roman" w:hAnsi="Trebuchet MS" w:cs="Segoe UI"/>
          <w:i/>
          <w:iCs/>
          <w:color w:val="000000"/>
          <w:lang w:eastAsia="en-GB"/>
        </w:rPr>
        <w:t>It is important to clarify the circumstances under which breaches of applicable Union law on public procurement, or national law related to its application, can lead to financial corrections by the Commission. </w:t>
      </w:r>
      <w:r w:rsidRPr="00150579">
        <w:rPr>
          <w:rFonts w:ascii="Trebuchet MS" w:eastAsia="Times New Roman" w:hAnsi="Trebuchet MS" w:cs="Segoe UI"/>
          <w:color w:val="000000"/>
          <w:lang w:eastAsia="en-GB"/>
        </w:rPr>
        <w:t> </w:t>
      </w:r>
    </w:p>
    <w:p w14:paraId="119F4179" w14:textId="77777777" w:rsidR="00150579" w:rsidRPr="00150579" w:rsidRDefault="00150579" w:rsidP="00150579">
      <w:pPr>
        <w:spacing w:line="360" w:lineRule="auto"/>
        <w:textAlignment w:val="baseline"/>
        <w:rPr>
          <w:rFonts w:ascii="Trebuchet MS" w:eastAsia="Times New Roman" w:hAnsi="Trebuchet MS" w:cs="Segoe UI"/>
          <w:color w:val="000000"/>
          <w:lang w:eastAsia="en-GB"/>
        </w:rPr>
      </w:pPr>
      <w:r w:rsidRPr="00150579">
        <w:rPr>
          <w:rFonts w:ascii="Trebuchet MS" w:eastAsia="Times New Roman" w:hAnsi="Trebuchet MS" w:cs="Segoe UI"/>
          <w:color w:val="000000"/>
          <w:lang w:eastAsia="en-GB"/>
        </w:rPr>
        <w:t> </w:t>
      </w:r>
    </w:p>
    <w:p w14:paraId="259F6F4A" w14:textId="77777777" w:rsidR="00150579" w:rsidRPr="00150579" w:rsidRDefault="00150579" w:rsidP="00150579">
      <w:pPr>
        <w:numPr>
          <w:ilvl w:val="0"/>
          <w:numId w:val="2"/>
        </w:numPr>
        <w:spacing w:line="360" w:lineRule="auto"/>
        <w:ind w:left="420"/>
        <w:textAlignment w:val="baseline"/>
        <w:rPr>
          <w:rFonts w:ascii="Trebuchet MS" w:eastAsia="Times New Roman" w:hAnsi="Trebuchet MS" w:cs="Segoe UI"/>
          <w:color w:val="000000"/>
          <w:lang w:eastAsia="en-GB"/>
        </w:rPr>
      </w:pPr>
      <w:r w:rsidRPr="00150579">
        <w:rPr>
          <w:rFonts w:ascii="Trebuchet MS" w:eastAsia="Times New Roman" w:hAnsi="Trebuchet MS" w:cs="Segoe UI"/>
          <w:i/>
          <w:iCs/>
          <w:color w:val="000000"/>
          <w:lang w:eastAsia="en-GB"/>
        </w:rPr>
        <w:t>to ensure </w:t>
      </w:r>
      <w:r w:rsidRPr="00150579">
        <w:rPr>
          <w:rFonts w:ascii="Trebuchet MS" w:eastAsia="Times New Roman" w:hAnsi="Trebuchet MS" w:cs="Segoe UI"/>
          <w:b/>
          <w:bCs/>
          <w:i/>
          <w:iCs/>
          <w:color w:val="000000"/>
          <w:lang w:eastAsia="en-GB"/>
        </w:rPr>
        <w:t>proportionality</w:t>
      </w:r>
      <w:r w:rsidRPr="00150579">
        <w:rPr>
          <w:rFonts w:ascii="Trebuchet MS" w:eastAsia="Times New Roman" w:hAnsi="Trebuchet MS" w:cs="Segoe UI"/>
          <w:i/>
          <w:iCs/>
          <w:color w:val="000000"/>
          <w:lang w:eastAsia="en-GB"/>
        </w:rPr>
        <w:t>. </w:t>
      </w:r>
      <w:r w:rsidRPr="00150579">
        <w:rPr>
          <w:rFonts w:ascii="Trebuchet MS" w:eastAsia="Times New Roman" w:hAnsi="Trebuchet MS" w:cs="Segoe UI"/>
          <w:color w:val="000000"/>
          <w:lang w:eastAsia="en-GB"/>
        </w:rPr>
        <w:t> </w:t>
      </w:r>
    </w:p>
    <w:p w14:paraId="707D236D" w14:textId="77777777" w:rsidR="00150579" w:rsidRPr="00150579" w:rsidRDefault="00150579" w:rsidP="00150579">
      <w:pPr>
        <w:spacing w:line="360" w:lineRule="auto"/>
        <w:textAlignment w:val="baseline"/>
        <w:rPr>
          <w:rFonts w:ascii="Trebuchet MS" w:eastAsia="Times New Roman" w:hAnsi="Trebuchet MS" w:cs="Segoe UI"/>
          <w:color w:val="000000"/>
          <w:lang w:eastAsia="en-GB"/>
        </w:rPr>
      </w:pPr>
      <w:r w:rsidRPr="00150579">
        <w:rPr>
          <w:rFonts w:ascii="Trebuchet MS" w:eastAsia="Times New Roman" w:hAnsi="Trebuchet MS" w:cs="Segoe UI"/>
          <w:color w:val="000000"/>
          <w:lang w:eastAsia="en-GB"/>
        </w:rPr>
        <w:t> </w:t>
      </w:r>
    </w:p>
    <w:p w14:paraId="0BC4F99F" w14:textId="77777777" w:rsidR="00150579" w:rsidRPr="00150579" w:rsidRDefault="00150579" w:rsidP="00150579">
      <w:pPr>
        <w:spacing w:line="360" w:lineRule="auto"/>
        <w:textAlignment w:val="baseline"/>
        <w:rPr>
          <w:rFonts w:ascii="Trebuchet MS" w:eastAsia="Times New Roman" w:hAnsi="Trebuchet MS" w:cs="Segoe UI"/>
          <w:color w:val="000000"/>
          <w:lang w:eastAsia="en-GB"/>
        </w:rPr>
      </w:pPr>
      <w:r w:rsidRPr="00150579">
        <w:rPr>
          <w:rFonts w:ascii="Trebuchet MS" w:eastAsia="Times New Roman" w:hAnsi="Trebuchet MS" w:cs="Segoe UI"/>
          <w:i/>
          <w:iCs/>
          <w:color w:val="000000"/>
          <w:lang w:eastAsia="en-GB"/>
        </w:rPr>
        <w:t>It is important that the Commission considers the nature and the gravity of the irregularity and the related financial implications for the budget of the Union when deciding on a financial correction. </w:t>
      </w:r>
      <w:r w:rsidRPr="00150579">
        <w:rPr>
          <w:rFonts w:ascii="Trebuchet MS" w:eastAsia="Times New Roman" w:hAnsi="Trebuchet MS" w:cs="Segoe UI"/>
          <w:color w:val="000000"/>
          <w:lang w:eastAsia="en-GB"/>
        </w:rPr>
        <w:t> </w:t>
      </w:r>
    </w:p>
    <w:p w14:paraId="1EA90754" w14:textId="77777777" w:rsidR="00150579" w:rsidRPr="00150579" w:rsidRDefault="00150579" w:rsidP="00150579">
      <w:pPr>
        <w:spacing w:line="360" w:lineRule="auto"/>
        <w:textAlignment w:val="baseline"/>
        <w:rPr>
          <w:rFonts w:ascii="Trebuchet MS" w:eastAsia="Times New Roman" w:hAnsi="Trebuchet MS" w:cs="Segoe UI"/>
          <w:color w:val="000000"/>
          <w:lang w:eastAsia="en-GB"/>
        </w:rPr>
      </w:pPr>
      <w:r w:rsidRPr="00150579">
        <w:rPr>
          <w:rFonts w:ascii="Trebuchet MS" w:eastAsia="Times New Roman" w:hAnsi="Trebuchet MS" w:cs="Segoe UI"/>
          <w:i/>
          <w:iCs/>
          <w:color w:val="000000"/>
          <w:lang w:eastAsia="en-GB"/>
        </w:rPr>
        <w:t>The Commission Decision and annex outlining revised financial corrections can be found here: </w:t>
      </w:r>
      <w:r w:rsidRPr="00150579">
        <w:rPr>
          <w:rFonts w:ascii="Trebuchet MS" w:eastAsia="Times New Roman" w:hAnsi="Trebuchet MS" w:cs="Segoe UI"/>
          <w:color w:val="000000"/>
          <w:lang w:eastAsia="en-GB"/>
        </w:rPr>
        <w:t> </w:t>
      </w:r>
    </w:p>
    <w:p w14:paraId="558AEEB1" w14:textId="77777777" w:rsidR="00150579" w:rsidRPr="00150579" w:rsidRDefault="007B1A97" w:rsidP="00150579">
      <w:pPr>
        <w:spacing w:line="360" w:lineRule="auto"/>
        <w:textAlignment w:val="baseline"/>
        <w:rPr>
          <w:rFonts w:ascii="Trebuchet MS" w:eastAsia="Times New Roman" w:hAnsi="Trebuchet MS" w:cs="Segoe UI"/>
          <w:color w:val="000000"/>
          <w:lang w:eastAsia="en-GB"/>
        </w:rPr>
      </w:pPr>
      <w:hyperlink r:id="rId12" w:tgtFrame="_blank" w:history="1">
        <w:r w:rsidR="00150579" w:rsidRPr="00150579">
          <w:rPr>
            <w:rFonts w:ascii="Trebuchet MS" w:eastAsia="Times New Roman" w:hAnsi="Trebuchet MS" w:cs="Segoe UI"/>
            <w:i/>
            <w:iCs/>
            <w:color w:val="0563C1"/>
            <w:u w:val="single"/>
            <w:lang w:eastAsia="en-GB"/>
          </w:rPr>
          <w:t>https://ec.europa.eu/regional_policy/sources/docgener/informat/2014/GL_corrections_pp_irregularities_annex_EN.pdf</w:t>
        </w:r>
      </w:hyperlink>
      <w:r w:rsidR="00150579" w:rsidRPr="00150579">
        <w:rPr>
          <w:rFonts w:ascii="Trebuchet MS" w:eastAsia="Times New Roman" w:hAnsi="Trebuchet MS" w:cs="Segoe UI"/>
          <w:i/>
          <w:iCs/>
          <w:color w:val="000000"/>
          <w:lang w:eastAsia="en-GB"/>
        </w:rPr>
        <w:t> </w:t>
      </w:r>
      <w:r w:rsidR="00150579" w:rsidRPr="00150579">
        <w:rPr>
          <w:rFonts w:ascii="Trebuchet MS" w:eastAsia="Times New Roman" w:hAnsi="Trebuchet MS" w:cs="Segoe UI"/>
          <w:color w:val="000000"/>
          <w:lang w:eastAsia="en-GB"/>
        </w:rPr>
        <w:t> </w:t>
      </w:r>
    </w:p>
    <w:p w14:paraId="4DF3D996" w14:textId="77777777" w:rsidR="00150579" w:rsidRPr="00150579" w:rsidRDefault="00150579" w:rsidP="00150579">
      <w:pPr>
        <w:spacing w:line="360" w:lineRule="auto"/>
        <w:textAlignment w:val="baseline"/>
        <w:rPr>
          <w:rFonts w:ascii="Trebuchet MS" w:eastAsia="Times New Roman" w:hAnsi="Trebuchet MS" w:cs="Segoe UI"/>
          <w:color w:val="000000"/>
          <w:lang w:eastAsia="en-GB"/>
        </w:rPr>
      </w:pPr>
      <w:r w:rsidRPr="00150579">
        <w:rPr>
          <w:rFonts w:ascii="Trebuchet MS" w:eastAsia="Times New Roman" w:hAnsi="Trebuchet MS" w:cs="Segoe UI"/>
          <w:color w:val="000000"/>
          <w:lang w:eastAsia="en-GB"/>
        </w:rPr>
        <w:t> </w:t>
      </w:r>
    </w:p>
    <w:p w14:paraId="1EEF2ECE" w14:textId="77777777" w:rsidR="00150579" w:rsidRPr="00150579" w:rsidRDefault="00150579" w:rsidP="00150579">
      <w:pPr>
        <w:spacing w:line="360" w:lineRule="auto"/>
        <w:textAlignment w:val="baseline"/>
        <w:rPr>
          <w:rFonts w:ascii="Trebuchet MS" w:eastAsia="Times New Roman" w:hAnsi="Trebuchet MS" w:cs="Segoe UI"/>
          <w:color w:val="000000"/>
          <w:lang w:eastAsia="en-GB"/>
        </w:rPr>
      </w:pPr>
      <w:r w:rsidRPr="00150579">
        <w:rPr>
          <w:rFonts w:ascii="Trebuchet MS" w:eastAsia="Times New Roman" w:hAnsi="Trebuchet MS" w:cs="Segoe UI"/>
          <w:i/>
          <w:iCs/>
          <w:color w:val="000000"/>
          <w:lang w:eastAsia="en-GB"/>
        </w:rPr>
        <w:t>These guidelines will be used to determine the amount of the financial corrections to be applied to expenditure in cases of irregularities that constitute breaches of public procurement rules. </w:t>
      </w:r>
      <w:r w:rsidRPr="00150579">
        <w:rPr>
          <w:rFonts w:ascii="Trebuchet MS" w:eastAsia="Times New Roman" w:hAnsi="Trebuchet MS" w:cs="Segoe UI"/>
          <w:color w:val="000000"/>
          <w:lang w:eastAsia="en-GB"/>
        </w:rPr>
        <w:t> </w:t>
      </w:r>
    </w:p>
    <w:p w14:paraId="58E34A1C" w14:textId="77777777" w:rsidR="00150579" w:rsidRPr="00150579" w:rsidRDefault="00150579" w:rsidP="00150579">
      <w:pPr>
        <w:spacing w:line="360" w:lineRule="auto"/>
        <w:textAlignment w:val="baseline"/>
        <w:rPr>
          <w:rFonts w:ascii="Trebuchet MS" w:eastAsia="Times New Roman" w:hAnsi="Trebuchet MS" w:cs="Segoe UI"/>
          <w:color w:val="000000"/>
          <w:lang w:eastAsia="en-GB"/>
        </w:rPr>
      </w:pPr>
      <w:r w:rsidRPr="00150579">
        <w:rPr>
          <w:rFonts w:ascii="Trebuchet MS" w:eastAsia="Times New Roman" w:hAnsi="Trebuchet MS" w:cs="Segoe UI"/>
          <w:color w:val="000000"/>
          <w:lang w:eastAsia="en-GB"/>
        </w:rPr>
        <w:t> </w:t>
      </w:r>
    </w:p>
    <w:p w14:paraId="229EF3A2" w14:textId="77777777" w:rsidR="00150579" w:rsidRPr="00150579" w:rsidRDefault="00150579" w:rsidP="00150579">
      <w:pPr>
        <w:spacing w:line="360" w:lineRule="auto"/>
        <w:textAlignment w:val="baseline"/>
        <w:rPr>
          <w:rFonts w:ascii="Trebuchet MS" w:eastAsia="Times New Roman" w:hAnsi="Trebuchet MS" w:cs="Segoe UI"/>
          <w:lang w:eastAsia="en-GB"/>
        </w:rPr>
      </w:pPr>
      <w:r w:rsidRPr="00150579">
        <w:rPr>
          <w:rFonts w:ascii="Trebuchet MS" w:eastAsia="Times New Roman" w:hAnsi="Trebuchet MS" w:cs="Segoe UI"/>
          <w:i/>
          <w:iCs/>
          <w:lang w:eastAsia="en-GB"/>
        </w:rPr>
        <w:t>The revised EU guidelines will be applied to Irregularities detected in relation to public contracts and to contracting authorities as defined in the Directives and will be used in by the Managing Authority, the Audit Authority, DG Emploi Audit Service and the European Court of Auditors when carrying out Article 125, Article 127 and other audit activities.</w:t>
      </w:r>
      <w:r w:rsidRPr="00150579">
        <w:rPr>
          <w:rFonts w:ascii="Trebuchet MS" w:eastAsia="Times New Roman" w:hAnsi="Trebuchet MS" w:cs="Segoe UI"/>
          <w:lang w:eastAsia="en-GB"/>
        </w:rPr>
        <w:t> </w:t>
      </w:r>
    </w:p>
    <w:p w14:paraId="46F55110" w14:textId="77777777" w:rsidR="00150579" w:rsidRPr="00150579" w:rsidRDefault="00150579" w:rsidP="00150579">
      <w:pPr>
        <w:spacing w:line="360" w:lineRule="auto"/>
        <w:textAlignment w:val="baseline"/>
        <w:rPr>
          <w:rFonts w:ascii="Trebuchet MS" w:eastAsia="Times New Roman" w:hAnsi="Trebuchet MS" w:cs="Segoe UI"/>
          <w:color w:val="000000"/>
          <w:lang w:eastAsia="en-GB"/>
        </w:rPr>
      </w:pPr>
      <w:r w:rsidRPr="00150579">
        <w:rPr>
          <w:rFonts w:ascii="Trebuchet MS" w:eastAsia="Times New Roman" w:hAnsi="Trebuchet MS" w:cs="Segoe UI"/>
          <w:i/>
          <w:iCs/>
          <w:color w:val="000000"/>
          <w:lang w:eastAsia="en-GB"/>
        </w:rPr>
        <w:t>Please note these revised corrections are in force from the </w:t>
      </w:r>
      <w:r w:rsidRPr="00150579">
        <w:rPr>
          <w:rFonts w:ascii="Trebuchet MS" w:eastAsia="Times New Roman" w:hAnsi="Trebuchet MS" w:cs="Segoe UI"/>
          <w:b/>
          <w:bCs/>
          <w:i/>
          <w:iCs/>
          <w:color w:val="000000"/>
          <w:lang w:eastAsia="en-GB"/>
        </w:rPr>
        <w:t>14th May 2019 </w:t>
      </w:r>
      <w:r w:rsidRPr="00150579">
        <w:rPr>
          <w:rFonts w:ascii="Trebuchet MS" w:eastAsia="Times New Roman" w:hAnsi="Trebuchet MS" w:cs="Segoe UI"/>
          <w:i/>
          <w:iCs/>
          <w:color w:val="000000"/>
          <w:lang w:eastAsia="en-GB"/>
        </w:rPr>
        <w:t>and apply to </w:t>
      </w:r>
      <w:r w:rsidRPr="00150579">
        <w:rPr>
          <w:rFonts w:ascii="Trebuchet MS" w:eastAsia="Times New Roman" w:hAnsi="Trebuchet MS" w:cs="Segoe UI"/>
          <w:b/>
          <w:bCs/>
          <w:i/>
          <w:iCs/>
          <w:color w:val="000000"/>
          <w:lang w:eastAsia="en-GB"/>
        </w:rPr>
        <w:t>both contacting and non-contracting authorities. </w:t>
      </w:r>
      <w:r w:rsidRPr="00150579">
        <w:rPr>
          <w:rFonts w:ascii="Trebuchet MS" w:eastAsia="Times New Roman" w:hAnsi="Trebuchet MS" w:cs="Segoe UI"/>
          <w:color w:val="000000"/>
          <w:lang w:eastAsia="en-GB"/>
        </w:rPr>
        <w:t> </w:t>
      </w:r>
    </w:p>
    <w:p w14:paraId="4C33AA07" w14:textId="77777777" w:rsidR="00150579" w:rsidRPr="00150579" w:rsidRDefault="00150579" w:rsidP="00150579">
      <w:pPr>
        <w:spacing w:line="360" w:lineRule="auto"/>
        <w:textAlignment w:val="baseline"/>
        <w:rPr>
          <w:rFonts w:ascii="Trebuchet MS" w:eastAsia="Times New Roman" w:hAnsi="Trebuchet MS" w:cs="Segoe UI"/>
          <w:color w:val="000000"/>
          <w:lang w:eastAsia="en-GB"/>
        </w:rPr>
      </w:pPr>
      <w:r w:rsidRPr="00150579">
        <w:rPr>
          <w:rFonts w:ascii="Trebuchet MS" w:eastAsia="Times New Roman" w:hAnsi="Trebuchet MS" w:cs="Segoe UI"/>
          <w:color w:val="000000"/>
          <w:lang w:eastAsia="en-GB"/>
        </w:rPr>
        <w:t> </w:t>
      </w:r>
    </w:p>
    <w:p w14:paraId="750EB8DD" w14:textId="77777777" w:rsidR="00150579" w:rsidRDefault="00150579" w:rsidP="00150579">
      <w:pPr>
        <w:spacing w:line="360" w:lineRule="auto"/>
        <w:textAlignment w:val="baseline"/>
        <w:rPr>
          <w:rFonts w:ascii="Trebuchet MS" w:eastAsia="Times New Roman" w:hAnsi="Trebuchet MS" w:cs="Segoe UI"/>
          <w:i/>
          <w:iCs/>
          <w:color w:val="000000"/>
          <w:lang w:eastAsia="en-GB"/>
        </w:rPr>
      </w:pPr>
    </w:p>
    <w:p w14:paraId="50D6ECD2" w14:textId="77777777" w:rsidR="00150579" w:rsidRDefault="00150579" w:rsidP="00150579">
      <w:pPr>
        <w:spacing w:line="360" w:lineRule="auto"/>
        <w:textAlignment w:val="baseline"/>
        <w:rPr>
          <w:rFonts w:ascii="Trebuchet MS" w:eastAsia="Times New Roman" w:hAnsi="Trebuchet MS" w:cs="Segoe UI"/>
          <w:i/>
          <w:iCs/>
          <w:color w:val="000000"/>
          <w:lang w:eastAsia="en-GB"/>
        </w:rPr>
      </w:pPr>
    </w:p>
    <w:p w14:paraId="60481BEA" w14:textId="77777777" w:rsidR="00150579" w:rsidRDefault="00150579" w:rsidP="00150579">
      <w:pPr>
        <w:spacing w:line="360" w:lineRule="auto"/>
        <w:textAlignment w:val="baseline"/>
        <w:rPr>
          <w:rFonts w:ascii="Trebuchet MS" w:eastAsia="Times New Roman" w:hAnsi="Trebuchet MS" w:cs="Segoe UI"/>
          <w:i/>
          <w:iCs/>
          <w:color w:val="000000"/>
          <w:lang w:eastAsia="en-GB"/>
        </w:rPr>
      </w:pPr>
    </w:p>
    <w:p w14:paraId="4963C1DD" w14:textId="77777777" w:rsidR="00150579" w:rsidRPr="00150579" w:rsidRDefault="00150579" w:rsidP="00150579">
      <w:pPr>
        <w:spacing w:line="360" w:lineRule="auto"/>
        <w:textAlignment w:val="baseline"/>
        <w:rPr>
          <w:rFonts w:ascii="Trebuchet MS" w:eastAsia="Times New Roman" w:hAnsi="Trebuchet MS" w:cs="Segoe UI"/>
          <w:color w:val="000000"/>
          <w:lang w:eastAsia="en-GB"/>
        </w:rPr>
      </w:pPr>
      <w:r w:rsidRPr="00150579">
        <w:rPr>
          <w:rFonts w:ascii="Trebuchet MS" w:eastAsia="Times New Roman" w:hAnsi="Trebuchet MS" w:cs="Segoe UI"/>
          <w:i/>
          <w:iCs/>
          <w:color w:val="000000"/>
          <w:lang w:eastAsia="en-GB"/>
        </w:rPr>
        <w:t>The revised guidelines place greater emphasis on: </w:t>
      </w:r>
      <w:r w:rsidRPr="00150579">
        <w:rPr>
          <w:rFonts w:ascii="Trebuchet MS" w:eastAsia="Times New Roman" w:hAnsi="Trebuchet MS" w:cs="Segoe UI"/>
          <w:color w:val="000000"/>
          <w:lang w:eastAsia="en-GB"/>
        </w:rPr>
        <w:t> </w:t>
      </w:r>
    </w:p>
    <w:p w14:paraId="13111DAB" w14:textId="77777777" w:rsidR="00150579" w:rsidRPr="00150579" w:rsidRDefault="00150579" w:rsidP="00150579">
      <w:pPr>
        <w:numPr>
          <w:ilvl w:val="0"/>
          <w:numId w:val="3"/>
        </w:numPr>
        <w:spacing w:line="360" w:lineRule="auto"/>
        <w:ind w:left="360"/>
        <w:textAlignment w:val="baseline"/>
        <w:rPr>
          <w:rFonts w:ascii="Trebuchet MS" w:eastAsia="Times New Roman" w:hAnsi="Trebuchet MS" w:cs="Segoe UI"/>
          <w:color w:val="000000"/>
          <w:lang w:eastAsia="en-GB"/>
        </w:rPr>
      </w:pPr>
      <w:r w:rsidRPr="00150579">
        <w:rPr>
          <w:rFonts w:ascii="Trebuchet MS" w:eastAsia="Times New Roman" w:hAnsi="Trebuchet MS" w:cs="Segoe UI"/>
          <w:i/>
          <w:iCs/>
          <w:color w:val="000000"/>
          <w:lang w:eastAsia="en-GB"/>
        </w:rPr>
        <w:t>Timescale for receipt of tenders or Expressions of Interest - if restricted to 5 days or less, 100% penalty applies. </w:t>
      </w:r>
      <w:r w:rsidRPr="00150579">
        <w:rPr>
          <w:rFonts w:ascii="Trebuchet MS" w:eastAsia="Times New Roman" w:hAnsi="Trebuchet MS" w:cs="Segoe UI"/>
          <w:color w:val="000000"/>
          <w:lang w:eastAsia="en-GB"/>
        </w:rPr>
        <w:t> </w:t>
      </w:r>
    </w:p>
    <w:p w14:paraId="12ABEF8F" w14:textId="77777777" w:rsidR="00150579" w:rsidRPr="00150579" w:rsidRDefault="00150579" w:rsidP="00150579">
      <w:pPr>
        <w:numPr>
          <w:ilvl w:val="0"/>
          <w:numId w:val="3"/>
        </w:numPr>
        <w:spacing w:line="360" w:lineRule="auto"/>
        <w:ind w:left="360"/>
        <w:textAlignment w:val="baseline"/>
        <w:rPr>
          <w:rFonts w:ascii="Trebuchet MS" w:eastAsia="Times New Roman" w:hAnsi="Trebuchet MS" w:cs="Segoe UI"/>
          <w:color w:val="000000"/>
          <w:lang w:eastAsia="en-GB"/>
        </w:rPr>
      </w:pPr>
      <w:r w:rsidRPr="00150579">
        <w:rPr>
          <w:rFonts w:ascii="Trebuchet MS" w:eastAsia="Times New Roman" w:hAnsi="Trebuchet MS" w:cs="Segoe UI"/>
          <w:i/>
          <w:iCs/>
          <w:color w:val="000000"/>
          <w:lang w:eastAsia="en-GB"/>
        </w:rPr>
        <w:t>If the audit trail is insufficiently robust to demonstrate the fair award of the contract, 25% penalty applies. </w:t>
      </w:r>
      <w:r w:rsidRPr="00150579">
        <w:rPr>
          <w:rFonts w:ascii="Trebuchet MS" w:eastAsia="Times New Roman" w:hAnsi="Trebuchet MS" w:cs="Segoe UI"/>
          <w:color w:val="000000"/>
          <w:lang w:eastAsia="en-GB"/>
        </w:rPr>
        <w:t> </w:t>
      </w:r>
    </w:p>
    <w:p w14:paraId="6911EA88" w14:textId="77777777" w:rsidR="00150579" w:rsidRPr="00150579" w:rsidRDefault="00150579" w:rsidP="00150579">
      <w:pPr>
        <w:numPr>
          <w:ilvl w:val="0"/>
          <w:numId w:val="3"/>
        </w:numPr>
        <w:spacing w:line="360" w:lineRule="auto"/>
        <w:ind w:left="360"/>
        <w:textAlignment w:val="baseline"/>
        <w:rPr>
          <w:rFonts w:ascii="Trebuchet MS" w:eastAsia="Times New Roman" w:hAnsi="Trebuchet MS" w:cs="Segoe UI"/>
          <w:color w:val="000000"/>
          <w:lang w:eastAsia="en-GB"/>
        </w:rPr>
      </w:pPr>
      <w:r w:rsidRPr="00150579">
        <w:rPr>
          <w:rFonts w:ascii="Trebuchet MS" w:eastAsia="Times New Roman" w:hAnsi="Trebuchet MS" w:cs="Segoe UI"/>
          <w:i/>
          <w:iCs/>
          <w:color w:val="000000"/>
          <w:lang w:eastAsia="en-GB"/>
        </w:rPr>
        <w:t>If a body letting a contract refuses to provide the relevant documentation to demonstrate a compliant audit trail, 100% penalty applies. </w:t>
      </w:r>
      <w:r w:rsidRPr="00150579">
        <w:rPr>
          <w:rFonts w:ascii="Trebuchet MS" w:eastAsia="Times New Roman" w:hAnsi="Trebuchet MS" w:cs="Segoe UI"/>
          <w:color w:val="000000"/>
          <w:lang w:eastAsia="en-GB"/>
        </w:rPr>
        <w:t> </w:t>
      </w:r>
    </w:p>
    <w:p w14:paraId="6F5F5C57" w14:textId="77777777" w:rsidR="00150579" w:rsidRPr="00150579" w:rsidRDefault="00150579" w:rsidP="00150579">
      <w:pPr>
        <w:numPr>
          <w:ilvl w:val="0"/>
          <w:numId w:val="3"/>
        </w:numPr>
        <w:spacing w:line="360" w:lineRule="auto"/>
        <w:ind w:left="360"/>
        <w:textAlignment w:val="baseline"/>
        <w:rPr>
          <w:rFonts w:ascii="Trebuchet MS" w:eastAsia="Times New Roman" w:hAnsi="Trebuchet MS" w:cs="Segoe UI"/>
          <w:color w:val="000000"/>
          <w:lang w:eastAsia="en-GB"/>
        </w:rPr>
      </w:pPr>
      <w:r w:rsidRPr="00150579">
        <w:rPr>
          <w:rFonts w:ascii="Trebuchet MS" w:eastAsia="Times New Roman" w:hAnsi="Trebuchet MS" w:cs="Segoe UI"/>
          <w:i/>
          <w:iCs/>
          <w:color w:val="000000"/>
          <w:lang w:eastAsia="en-GB"/>
        </w:rPr>
        <w:t>Any increase in price exceeding 50% of the value of the original contract will attract a penalty 25% of the original contract plus 100% of the increase </w:t>
      </w:r>
      <w:r w:rsidRPr="00150579">
        <w:rPr>
          <w:rFonts w:ascii="Trebuchet MS" w:eastAsia="Times New Roman" w:hAnsi="Trebuchet MS" w:cs="Segoe UI"/>
          <w:color w:val="000000"/>
          <w:lang w:eastAsia="en-GB"/>
        </w:rPr>
        <w:t> </w:t>
      </w:r>
    </w:p>
    <w:p w14:paraId="386655E4" w14:textId="77777777" w:rsidR="00150579" w:rsidRPr="00150579" w:rsidRDefault="00150579" w:rsidP="00150579">
      <w:pPr>
        <w:spacing w:line="360" w:lineRule="auto"/>
        <w:textAlignment w:val="baseline"/>
        <w:rPr>
          <w:rFonts w:ascii="Trebuchet MS" w:eastAsia="Times New Roman" w:hAnsi="Trebuchet MS" w:cs="Segoe UI"/>
          <w:color w:val="000000"/>
          <w:lang w:eastAsia="en-GB"/>
        </w:rPr>
      </w:pPr>
      <w:r w:rsidRPr="00150579">
        <w:rPr>
          <w:rFonts w:ascii="Trebuchet MS" w:eastAsia="Times New Roman" w:hAnsi="Trebuchet MS" w:cs="Segoe UI"/>
          <w:color w:val="000000"/>
          <w:lang w:eastAsia="en-GB"/>
        </w:rPr>
        <w:t> </w:t>
      </w:r>
    </w:p>
    <w:p w14:paraId="48F9CF0A" w14:textId="77777777" w:rsidR="00150579" w:rsidRPr="00150579" w:rsidRDefault="00150579" w:rsidP="00150579">
      <w:pPr>
        <w:spacing w:line="360" w:lineRule="auto"/>
        <w:textAlignment w:val="baseline"/>
        <w:rPr>
          <w:rFonts w:ascii="Trebuchet MS" w:eastAsia="Times New Roman" w:hAnsi="Trebuchet MS" w:cs="Segoe UI"/>
          <w:color w:val="000000"/>
          <w:lang w:eastAsia="en-GB"/>
        </w:rPr>
      </w:pPr>
      <w:r w:rsidRPr="00150579">
        <w:rPr>
          <w:rFonts w:ascii="Trebuchet MS" w:eastAsia="Times New Roman" w:hAnsi="Trebuchet MS" w:cs="Segoe UI"/>
          <w:i/>
          <w:iCs/>
          <w:color w:val="000000"/>
          <w:lang w:eastAsia="en-GB"/>
        </w:rPr>
        <w:t>The revised guidelines also reduce the level of penalty for some infringements including; not subdividing a contract into lots (5%); minor reductions in the regulatory timescales to receive tender documents (10%); lack of publication on OJEU of extended timescales for tenders as long as notice has been posted elsewhere (5%); use of criteria which limits competition i.e. trademarks, standards (10%). </w:t>
      </w:r>
      <w:r w:rsidRPr="00150579">
        <w:rPr>
          <w:rFonts w:ascii="Trebuchet MS" w:eastAsia="Times New Roman" w:hAnsi="Trebuchet MS" w:cs="Segoe UI"/>
          <w:color w:val="000000"/>
          <w:lang w:eastAsia="en-GB"/>
        </w:rPr>
        <w:t> </w:t>
      </w:r>
    </w:p>
    <w:p w14:paraId="328889DA" w14:textId="77777777" w:rsidR="00150579" w:rsidRPr="00150579" w:rsidRDefault="00150579" w:rsidP="00150579">
      <w:pPr>
        <w:spacing w:line="360" w:lineRule="auto"/>
        <w:textAlignment w:val="baseline"/>
        <w:rPr>
          <w:rFonts w:ascii="Trebuchet MS" w:eastAsia="Times New Roman" w:hAnsi="Trebuchet MS" w:cs="Segoe UI"/>
          <w:color w:val="000000"/>
          <w:lang w:eastAsia="en-GB"/>
        </w:rPr>
      </w:pPr>
      <w:r w:rsidRPr="00150579">
        <w:rPr>
          <w:rFonts w:ascii="Trebuchet MS" w:eastAsia="Times New Roman" w:hAnsi="Trebuchet MS" w:cs="Segoe UI"/>
          <w:color w:val="000000"/>
          <w:lang w:eastAsia="en-GB"/>
        </w:rPr>
        <w:t> </w:t>
      </w:r>
    </w:p>
    <w:p w14:paraId="3B1D3428" w14:textId="77777777" w:rsidR="00150579" w:rsidRPr="00150579" w:rsidRDefault="00150579" w:rsidP="00150579">
      <w:pPr>
        <w:spacing w:line="360" w:lineRule="auto"/>
        <w:textAlignment w:val="baseline"/>
        <w:rPr>
          <w:rFonts w:ascii="Trebuchet MS" w:eastAsia="Times New Roman" w:hAnsi="Trebuchet MS" w:cs="Segoe UI"/>
          <w:color w:val="000000"/>
          <w:lang w:eastAsia="en-GB"/>
        </w:rPr>
      </w:pPr>
      <w:r w:rsidRPr="00150579">
        <w:rPr>
          <w:rFonts w:ascii="Trebuchet MS" w:eastAsia="Times New Roman" w:hAnsi="Trebuchet MS" w:cs="Segoe UI"/>
          <w:b/>
          <w:bCs/>
          <w:i/>
          <w:iCs/>
          <w:color w:val="000000"/>
          <w:lang w:eastAsia="en-GB"/>
        </w:rPr>
        <w:t>Non-contracting authorities </w:t>
      </w:r>
      <w:r w:rsidRPr="00150579">
        <w:rPr>
          <w:rFonts w:ascii="Trebuchet MS" w:eastAsia="Times New Roman" w:hAnsi="Trebuchet MS" w:cs="Segoe UI"/>
          <w:i/>
          <w:iCs/>
          <w:color w:val="000000"/>
          <w:lang w:eastAsia="en-GB"/>
        </w:rPr>
        <w:t>e.g. (SMEs, other private sector organisations, third sector organisations, research organisations, and universities whose income is more than 50% private) should note that the revised guidance will apply. Particular attention is drawn to:</w:t>
      </w:r>
      <w:r w:rsidRPr="00150579">
        <w:rPr>
          <w:rFonts w:ascii="Trebuchet MS" w:eastAsia="Times New Roman" w:hAnsi="Trebuchet MS" w:cs="Segoe UI"/>
          <w:color w:val="000000"/>
          <w:lang w:eastAsia="en-GB"/>
        </w:rPr>
        <w:t> </w:t>
      </w:r>
    </w:p>
    <w:p w14:paraId="6A66B2B4" w14:textId="77777777" w:rsidR="00150579" w:rsidRPr="00150579" w:rsidRDefault="00150579" w:rsidP="00150579">
      <w:pPr>
        <w:spacing w:line="360" w:lineRule="auto"/>
        <w:textAlignment w:val="baseline"/>
        <w:rPr>
          <w:rFonts w:ascii="Trebuchet MS" w:eastAsia="Times New Roman" w:hAnsi="Trebuchet MS" w:cs="Segoe UI"/>
          <w:color w:val="000000"/>
          <w:lang w:eastAsia="en-GB"/>
        </w:rPr>
      </w:pPr>
      <w:r w:rsidRPr="00150579">
        <w:rPr>
          <w:rFonts w:ascii="Trebuchet MS" w:eastAsia="Times New Roman" w:hAnsi="Trebuchet MS" w:cs="Segoe UI"/>
          <w:i/>
          <w:iCs/>
          <w:color w:val="000000"/>
          <w:lang w:eastAsia="en-GB"/>
        </w:rPr>
        <w:t> </w:t>
      </w:r>
      <w:r w:rsidRPr="00150579">
        <w:rPr>
          <w:rFonts w:ascii="Trebuchet MS" w:eastAsia="Times New Roman" w:hAnsi="Trebuchet MS" w:cs="Segoe UI"/>
          <w:color w:val="000000"/>
          <w:lang w:eastAsia="en-GB"/>
        </w:rPr>
        <w:t> </w:t>
      </w:r>
    </w:p>
    <w:p w14:paraId="00E28ADF" w14:textId="77777777" w:rsidR="00150579" w:rsidRPr="00150579" w:rsidRDefault="00150579" w:rsidP="00150579">
      <w:pPr>
        <w:numPr>
          <w:ilvl w:val="0"/>
          <w:numId w:val="4"/>
        </w:numPr>
        <w:spacing w:line="360" w:lineRule="auto"/>
        <w:ind w:left="360"/>
        <w:textAlignment w:val="baseline"/>
        <w:rPr>
          <w:rFonts w:ascii="Trebuchet MS" w:eastAsia="Times New Roman" w:hAnsi="Trebuchet MS" w:cs="Segoe UI"/>
          <w:color w:val="000000"/>
          <w:lang w:eastAsia="en-GB"/>
        </w:rPr>
      </w:pPr>
      <w:r w:rsidRPr="00150579">
        <w:rPr>
          <w:rFonts w:ascii="Trebuchet MS" w:eastAsia="Times New Roman" w:hAnsi="Trebuchet MS" w:cs="Segoe UI"/>
          <w:b/>
          <w:bCs/>
          <w:i/>
          <w:iCs/>
          <w:color w:val="000000"/>
          <w:lang w:eastAsia="en-GB"/>
        </w:rPr>
        <w:t>Advertising. </w:t>
      </w:r>
      <w:r w:rsidRPr="00150579">
        <w:rPr>
          <w:rFonts w:ascii="Trebuchet MS" w:eastAsia="Times New Roman" w:hAnsi="Trebuchet MS" w:cs="Segoe UI"/>
          <w:i/>
          <w:iCs/>
          <w:color w:val="000000"/>
          <w:lang w:eastAsia="en-GB"/>
        </w:rPr>
        <w:t>If a Non contracting authority does not advertise a contract opportunity with a value over £25,000 in an openly accessible manner (such as website advertisement) 100% correction applies </w:t>
      </w:r>
      <w:r w:rsidRPr="00150579">
        <w:rPr>
          <w:rFonts w:ascii="Trebuchet MS" w:eastAsia="Times New Roman" w:hAnsi="Trebuchet MS" w:cs="Segoe UI"/>
          <w:color w:val="000000"/>
          <w:lang w:eastAsia="en-GB"/>
        </w:rPr>
        <w:t> </w:t>
      </w:r>
    </w:p>
    <w:p w14:paraId="0DF63A92" w14:textId="77777777" w:rsidR="00150579" w:rsidRPr="00150579" w:rsidRDefault="00150579" w:rsidP="00150579">
      <w:pPr>
        <w:numPr>
          <w:ilvl w:val="0"/>
          <w:numId w:val="4"/>
        </w:numPr>
        <w:spacing w:line="360" w:lineRule="auto"/>
        <w:ind w:left="360"/>
        <w:textAlignment w:val="baseline"/>
        <w:rPr>
          <w:rFonts w:ascii="Trebuchet MS" w:eastAsia="Times New Roman" w:hAnsi="Trebuchet MS" w:cs="Segoe UI"/>
          <w:color w:val="000000"/>
          <w:lang w:eastAsia="en-GB"/>
        </w:rPr>
      </w:pPr>
      <w:r w:rsidRPr="00150579">
        <w:rPr>
          <w:rFonts w:ascii="Trebuchet MS" w:eastAsia="Times New Roman" w:hAnsi="Trebuchet MS" w:cs="Segoe UI"/>
          <w:b/>
          <w:bCs/>
          <w:i/>
          <w:iCs/>
          <w:color w:val="000000"/>
          <w:lang w:eastAsia="en-GB"/>
        </w:rPr>
        <w:t>Direct awards to linked organisations</w:t>
      </w:r>
      <w:r w:rsidRPr="00150579">
        <w:rPr>
          <w:rFonts w:ascii="Trebuchet MS" w:eastAsia="Times New Roman" w:hAnsi="Trebuchet MS" w:cs="Segoe UI"/>
          <w:i/>
          <w:iCs/>
          <w:color w:val="000000"/>
          <w:lang w:eastAsia="en-GB"/>
        </w:rPr>
        <w:t>, i.e. conflict of interest with related parties, whether organisations, or individuals involved in the process (Guidance on Identifying, Managing and Monitoring Conflicts of Interest within ERDF and ESF ESIF-GN-1-027 refers). 100% penalty applies </w:t>
      </w:r>
      <w:r w:rsidRPr="00150579">
        <w:rPr>
          <w:rFonts w:ascii="Trebuchet MS" w:eastAsia="Times New Roman" w:hAnsi="Trebuchet MS" w:cs="Segoe UI"/>
          <w:color w:val="000000"/>
          <w:lang w:eastAsia="en-GB"/>
        </w:rPr>
        <w:t> </w:t>
      </w:r>
    </w:p>
    <w:p w14:paraId="3A31B74D" w14:textId="77777777" w:rsidR="00150579" w:rsidRPr="00150579" w:rsidRDefault="00150579" w:rsidP="00150579">
      <w:pPr>
        <w:numPr>
          <w:ilvl w:val="0"/>
          <w:numId w:val="4"/>
        </w:numPr>
        <w:spacing w:line="360" w:lineRule="auto"/>
        <w:ind w:left="360"/>
        <w:textAlignment w:val="baseline"/>
        <w:rPr>
          <w:rFonts w:ascii="Trebuchet MS" w:eastAsia="Times New Roman" w:hAnsi="Trebuchet MS" w:cs="Segoe UI"/>
          <w:color w:val="000000"/>
          <w:lang w:eastAsia="en-GB"/>
        </w:rPr>
      </w:pPr>
      <w:r w:rsidRPr="00150579">
        <w:rPr>
          <w:rFonts w:ascii="Trebuchet MS" w:eastAsia="Times New Roman" w:hAnsi="Trebuchet MS" w:cs="Segoe UI"/>
          <w:b/>
          <w:bCs/>
          <w:i/>
          <w:iCs/>
          <w:color w:val="000000"/>
          <w:lang w:eastAsia="en-GB"/>
        </w:rPr>
        <w:t>Discriminatory tender conditions </w:t>
      </w:r>
      <w:r w:rsidRPr="00150579">
        <w:rPr>
          <w:rFonts w:ascii="Trebuchet MS" w:eastAsia="Times New Roman" w:hAnsi="Trebuchet MS" w:cs="Segoe UI"/>
          <w:i/>
          <w:iCs/>
          <w:color w:val="000000"/>
          <w:lang w:eastAsia="en-GB"/>
        </w:rPr>
        <w:t>which prevent competition.100% penalty. </w:t>
      </w:r>
      <w:r w:rsidRPr="00150579">
        <w:rPr>
          <w:rFonts w:ascii="Trebuchet MS" w:eastAsia="Times New Roman" w:hAnsi="Trebuchet MS" w:cs="Segoe UI"/>
          <w:color w:val="000000"/>
          <w:lang w:eastAsia="en-GB"/>
        </w:rPr>
        <w:t> </w:t>
      </w:r>
    </w:p>
    <w:p w14:paraId="2051D629" w14:textId="77777777" w:rsidR="00150579" w:rsidRPr="00150579" w:rsidRDefault="00150579" w:rsidP="00150579">
      <w:pPr>
        <w:numPr>
          <w:ilvl w:val="0"/>
          <w:numId w:val="4"/>
        </w:numPr>
        <w:spacing w:line="360" w:lineRule="auto"/>
        <w:ind w:left="360"/>
        <w:textAlignment w:val="baseline"/>
        <w:rPr>
          <w:rFonts w:ascii="Trebuchet MS" w:eastAsia="Times New Roman" w:hAnsi="Trebuchet MS" w:cs="Segoe UI"/>
          <w:color w:val="000000"/>
          <w:lang w:eastAsia="en-GB"/>
        </w:rPr>
      </w:pPr>
      <w:r w:rsidRPr="00150579">
        <w:rPr>
          <w:rFonts w:ascii="Trebuchet MS" w:eastAsia="Times New Roman" w:hAnsi="Trebuchet MS" w:cs="Segoe UI"/>
          <w:b/>
          <w:bCs/>
          <w:i/>
          <w:iCs/>
          <w:color w:val="000000"/>
          <w:lang w:eastAsia="en-GB"/>
        </w:rPr>
        <w:t>Artificial splitting of contracts </w:t>
      </w:r>
      <w:r w:rsidRPr="00150579">
        <w:rPr>
          <w:rFonts w:ascii="Trebuchet MS" w:eastAsia="Times New Roman" w:hAnsi="Trebuchet MS" w:cs="Segoe UI"/>
          <w:i/>
          <w:iCs/>
          <w:color w:val="000000"/>
          <w:lang w:eastAsia="en-GB"/>
        </w:rPr>
        <w:t>to avoid advertising thresholds. 100% penalty. </w:t>
      </w:r>
      <w:r w:rsidRPr="00150579">
        <w:rPr>
          <w:rFonts w:ascii="Trebuchet MS" w:eastAsia="Times New Roman" w:hAnsi="Trebuchet MS" w:cs="Segoe UI"/>
          <w:color w:val="000000"/>
          <w:lang w:eastAsia="en-GB"/>
        </w:rPr>
        <w:t> </w:t>
      </w:r>
    </w:p>
    <w:p w14:paraId="7E91A221" w14:textId="77777777" w:rsidR="00150579" w:rsidRPr="00150579" w:rsidRDefault="00150579" w:rsidP="00150579">
      <w:pPr>
        <w:numPr>
          <w:ilvl w:val="0"/>
          <w:numId w:val="4"/>
        </w:numPr>
        <w:spacing w:line="360" w:lineRule="auto"/>
        <w:ind w:left="360"/>
        <w:textAlignment w:val="baseline"/>
        <w:rPr>
          <w:rFonts w:ascii="Trebuchet MS" w:eastAsia="Times New Roman" w:hAnsi="Trebuchet MS" w:cs="Segoe UI"/>
          <w:color w:val="000000"/>
          <w:lang w:eastAsia="en-GB"/>
        </w:rPr>
      </w:pPr>
      <w:r w:rsidRPr="00150579">
        <w:rPr>
          <w:rFonts w:ascii="Trebuchet MS" w:eastAsia="Times New Roman" w:hAnsi="Trebuchet MS" w:cs="Segoe UI"/>
          <w:b/>
          <w:bCs/>
          <w:i/>
          <w:iCs/>
          <w:color w:val="000000"/>
          <w:lang w:eastAsia="en-GB"/>
        </w:rPr>
        <w:t>Modification of contracts </w:t>
      </w:r>
      <w:r w:rsidRPr="00150579">
        <w:rPr>
          <w:rFonts w:ascii="Trebuchet MS" w:eastAsia="Times New Roman" w:hAnsi="Trebuchet MS" w:cs="Segoe UI"/>
          <w:i/>
          <w:iCs/>
          <w:color w:val="000000"/>
          <w:lang w:eastAsia="en-GB"/>
        </w:rPr>
        <w:t>i.e. if originally below an advertising threshold and extended to a value which would have required advertising penalty 25% of the original contract plus 100% of the increase </w:t>
      </w:r>
      <w:r w:rsidRPr="00150579">
        <w:rPr>
          <w:rFonts w:ascii="Trebuchet MS" w:eastAsia="Times New Roman" w:hAnsi="Trebuchet MS" w:cs="Segoe UI"/>
          <w:color w:val="000000"/>
          <w:lang w:eastAsia="en-GB"/>
        </w:rPr>
        <w:t> </w:t>
      </w:r>
    </w:p>
    <w:p w14:paraId="3405D7E1" w14:textId="77777777" w:rsidR="00150579" w:rsidRPr="00150579" w:rsidRDefault="00150579" w:rsidP="00150579">
      <w:pPr>
        <w:numPr>
          <w:ilvl w:val="0"/>
          <w:numId w:val="5"/>
        </w:numPr>
        <w:spacing w:line="360" w:lineRule="auto"/>
        <w:ind w:left="360"/>
        <w:textAlignment w:val="baseline"/>
        <w:rPr>
          <w:rFonts w:ascii="Trebuchet MS" w:eastAsia="Times New Roman" w:hAnsi="Trebuchet MS" w:cs="Segoe UI"/>
          <w:color w:val="000000"/>
          <w:lang w:eastAsia="en-GB"/>
        </w:rPr>
      </w:pPr>
      <w:r w:rsidRPr="00150579">
        <w:rPr>
          <w:rFonts w:ascii="Trebuchet MS" w:eastAsia="Times New Roman" w:hAnsi="Trebuchet MS" w:cs="Segoe UI"/>
          <w:i/>
          <w:iCs/>
          <w:color w:val="000000"/>
          <w:lang w:eastAsia="en-GB"/>
        </w:rPr>
        <w:lastRenderedPageBreak/>
        <w:t>Any </w:t>
      </w:r>
      <w:r w:rsidRPr="00150579">
        <w:rPr>
          <w:rFonts w:ascii="Trebuchet MS" w:eastAsia="Times New Roman" w:hAnsi="Trebuchet MS" w:cs="Segoe UI"/>
          <w:b/>
          <w:bCs/>
          <w:i/>
          <w:iCs/>
          <w:color w:val="000000"/>
          <w:lang w:eastAsia="en-GB"/>
        </w:rPr>
        <w:t>increase in price </w:t>
      </w:r>
      <w:r w:rsidRPr="00150579">
        <w:rPr>
          <w:rFonts w:ascii="Trebuchet MS" w:eastAsia="Times New Roman" w:hAnsi="Trebuchet MS" w:cs="Segoe UI"/>
          <w:i/>
          <w:iCs/>
          <w:color w:val="000000"/>
          <w:lang w:eastAsia="en-GB"/>
        </w:rPr>
        <w:t>exceeding 50% of the value of the original contract. 25% of the original contract + 100% of the increase applies </w:t>
      </w:r>
      <w:r w:rsidRPr="00150579">
        <w:rPr>
          <w:rFonts w:ascii="Trebuchet MS" w:eastAsia="Times New Roman" w:hAnsi="Trebuchet MS" w:cs="Segoe UI"/>
          <w:color w:val="000000"/>
          <w:lang w:eastAsia="en-GB"/>
        </w:rPr>
        <w:t> </w:t>
      </w:r>
    </w:p>
    <w:p w14:paraId="5F37B15F" w14:textId="77777777" w:rsidR="00150579" w:rsidRPr="00150579" w:rsidRDefault="00150579" w:rsidP="00150579">
      <w:pPr>
        <w:numPr>
          <w:ilvl w:val="0"/>
          <w:numId w:val="5"/>
        </w:numPr>
        <w:spacing w:line="360" w:lineRule="auto"/>
        <w:ind w:left="360"/>
        <w:textAlignment w:val="baseline"/>
        <w:rPr>
          <w:rFonts w:ascii="Trebuchet MS" w:eastAsia="Times New Roman" w:hAnsi="Trebuchet MS" w:cs="Segoe UI"/>
          <w:color w:val="000000"/>
          <w:lang w:eastAsia="en-GB"/>
        </w:rPr>
      </w:pPr>
      <w:r w:rsidRPr="00150579">
        <w:rPr>
          <w:rFonts w:ascii="Trebuchet MS" w:eastAsia="Times New Roman" w:hAnsi="Trebuchet MS" w:cs="Segoe UI"/>
          <w:b/>
          <w:bCs/>
          <w:i/>
          <w:iCs/>
          <w:color w:val="000000"/>
          <w:lang w:eastAsia="en-GB"/>
        </w:rPr>
        <w:t>Non advertising extension of tender submission deadlines </w:t>
      </w:r>
      <w:r w:rsidRPr="00150579">
        <w:rPr>
          <w:rFonts w:ascii="Trebuchet MS" w:eastAsia="Times New Roman" w:hAnsi="Trebuchet MS" w:cs="Segoe UI"/>
          <w:i/>
          <w:iCs/>
          <w:color w:val="000000"/>
          <w:lang w:eastAsia="en-GB"/>
        </w:rPr>
        <w:t>10% penalty applies </w:t>
      </w:r>
      <w:r w:rsidRPr="00150579">
        <w:rPr>
          <w:rFonts w:ascii="Trebuchet MS" w:eastAsia="Times New Roman" w:hAnsi="Trebuchet MS" w:cs="Segoe UI"/>
          <w:color w:val="000000"/>
          <w:lang w:eastAsia="en-GB"/>
        </w:rPr>
        <w:t> </w:t>
      </w:r>
    </w:p>
    <w:p w14:paraId="769C7328" w14:textId="77777777" w:rsidR="00150579" w:rsidRPr="00150579" w:rsidRDefault="00150579" w:rsidP="00150579">
      <w:pPr>
        <w:spacing w:line="360" w:lineRule="auto"/>
        <w:textAlignment w:val="baseline"/>
        <w:rPr>
          <w:rFonts w:ascii="Trebuchet MS" w:eastAsia="Times New Roman" w:hAnsi="Trebuchet MS" w:cs="Segoe UI"/>
          <w:color w:val="000000"/>
          <w:lang w:eastAsia="en-GB"/>
        </w:rPr>
      </w:pPr>
      <w:r w:rsidRPr="00150579">
        <w:rPr>
          <w:rFonts w:ascii="Trebuchet MS" w:eastAsia="Times New Roman" w:hAnsi="Trebuchet MS" w:cs="Segoe UI"/>
          <w:color w:val="000000"/>
          <w:lang w:eastAsia="en-GB"/>
        </w:rPr>
        <w:t> </w:t>
      </w:r>
    </w:p>
    <w:p w14:paraId="6AFACA14" w14:textId="77777777" w:rsidR="003B68F1" w:rsidRPr="002E522F" w:rsidRDefault="00150579" w:rsidP="002E522F">
      <w:pPr>
        <w:spacing w:line="360" w:lineRule="auto"/>
        <w:textAlignment w:val="baseline"/>
        <w:rPr>
          <w:rFonts w:ascii="Trebuchet MS" w:eastAsia="Times New Roman" w:hAnsi="Trebuchet MS" w:cs="Segoe UI"/>
          <w:lang w:eastAsia="en-GB"/>
        </w:rPr>
      </w:pPr>
      <w:r w:rsidRPr="00150579">
        <w:rPr>
          <w:rFonts w:ascii="Trebuchet MS" w:eastAsia="Times New Roman" w:hAnsi="Trebuchet MS" w:cs="Segoe UI"/>
          <w:i/>
          <w:iCs/>
          <w:lang w:eastAsia="en-GB"/>
        </w:rPr>
        <w:t>The above is an indicative list only, for further information, please read the full EC guidelines and Commission Decision (see hyperlink at the start of this Action Note).</w:t>
      </w:r>
    </w:p>
    <w:sectPr w:rsidR="003B68F1" w:rsidRPr="002E522F">
      <w:head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9B6433" w14:textId="77777777" w:rsidR="00DD5BE5" w:rsidRDefault="00DD5BE5" w:rsidP="004D183A">
      <w:r>
        <w:separator/>
      </w:r>
    </w:p>
  </w:endnote>
  <w:endnote w:type="continuationSeparator" w:id="0">
    <w:p w14:paraId="428F9A6E" w14:textId="77777777" w:rsidR="00DD5BE5" w:rsidRDefault="00DD5BE5" w:rsidP="004D18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27478B" w14:textId="77777777" w:rsidR="00DD5BE5" w:rsidRDefault="00DD5BE5" w:rsidP="004D183A">
      <w:r>
        <w:separator/>
      </w:r>
    </w:p>
  </w:footnote>
  <w:footnote w:type="continuationSeparator" w:id="0">
    <w:p w14:paraId="4F156DCB" w14:textId="77777777" w:rsidR="00DD5BE5" w:rsidRDefault="00DD5BE5" w:rsidP="004D18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4567C4" w14:textId="77777777" w:rsidR="004D183A" w:rsidRDefault="004D183A">
    <w:pPr>
      <w:pStyle w:val="Header"/>
    </w:pPr>
    <w:r>
      <w:rPr>
        <w:rFonts w:ascii="Trebuchet MS" w:hAnsi="Trebuchet MS"/>
        <w:b/>
        <w:noProof/>
        <w:sz w:val="24"/>
        <w:szCs w:val="24"/>
        <w:lang w:eastAsia="en-GB"/>
      </w:rPr>
      <w:drawing>
        <wp:anchor distT="0" distB="0" distL="114300" distR="114300" simplePos="0" relativeHeight="251659264" behindDoc="0" locked="0" layoutInCell="1" allowOverlap="1" wp14:anchorId="6E8022CB" wp14:editId="44C3C127">
          <wp:simplePos x="0" y="0"/>
          <wp:positionH relativeFrom="margin">
            <wp:posOffset>787400</wp:posOffset>
          </wp:positionH>
          <wp:positionV relativeFrom="margin">
            <wp:posOffset>-694055</wp:posOffset>
          </wp:positionV>
          <wp:extent cx="4082155" cy="12573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BO(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082155" cy="12573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5C12D2"/>
    <w:multiLevelType w:val="multilevel"/>
    <w:tmpl w:val="5D9820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99C398C"/>
    <w:multiLevelType w:val="multilevel"/>
    <w:tmpl w:val="045C9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2E27BF6"/>
    <w:multiLevelType w:val="multilevel"/>
    <w:tmpl w:val="BD783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5BA7E75"/>
    <w:multiLevelType w:val="multilevel"/>
    <w:tmpl w:val="30B88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B15748A"/>
    <w:multiLevelType w:val="multilevel"/>
    <w:tmpl w:val="2DA0D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3"/>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183A"/>
    <w:rsid w:val="00000203"/>
    <w:rsid w:val="0000440B"/>
    <w:rsid w:val="000124B7"/>
    <w:rsid w:val="00020712"/>
    <w:rsid w:val="00021B20"/>
    <w:rsid w:val="000325F5"/>
    <w:rsid w:val="000353D5"/>
    <w:rsid w:val="000358E4"/>
    <w:rsid w:val="000373B9"/>
    <w:rsid w:val="00037773"/>
    <w:rsid w:val="0004596A"/>
    <w:rsid w:val="00047B55"/>
    <w:rsid w:val="00051F24"/>
    <w:rsid w:val="0005225A"/>
    <w:rsid w:val="000534AA"/>
    <w:rsid w:val="00060AFE"/>
    <w:rsid w:val="00060F0C"/>
    <w:rsid w:val="00061726"/>
    <w:rsid w:val="00063490"/>
    <w:rsid w:val="000639AA"/>
    <w:rsid w:val="00075B1A"/>
    <w:rsid w:val="00085348"/>
    <w:rsid w:val="0008743E"/>
    <w:rsid w:val="00087747"/>
    <w:rsid w:val="00095807"/>
    <w:rsid w:val="00097D5A"/>
    <w:rsid w:val="000A4164"/>
    <w:rsid w:val="000B7908"/>
    <w:rsid w:val="000C2A06"/>
    <w:rsid w:val="000C4C54"/>
    <w:rsid w:val="000D5572"/>
    <w:rsid w:val="000E283A"/>
    <w:rsid w:val="000F5E32"/>
    <w:rsid w:val="00103D88"/>
    <w:rsid w:val="00103E64"/>
    <w:rsid w:val="0011649C"/>
    <w:rsid w:val="001176B3"/>
    <w:rsid w:val="00123666"/>
    <w:rsid w:val="001274E4"/>
    <w:rsid w:val="00137B38"/>
    <w:rsid w:val="0015046F"/>
    <w:rsid w:val="00150579"/>
    <w:rsid w:val="00151B8B"/>
    <w:rsid w:val="0015234C"/>
    <w:rsid w:val="00153137"/>
    <w:rsid w:val="001532EC"/>
    <w:rsid w:val="00153756"/>
    <w:rsid w:val="00155E9E"/>
    <w:rsid w:val="00161BDA"/>
    <w:rsid w:val="00161F3A"/>
    <w:rsid w:val="00170A10"/>
    <w:rsid w:val="00174CBF"/>
    <w:rsid w:val="00195F46"/>
    <w:rsid w:val="001960C4"/>
    <w:rsid w:val="001B17B6"/>
    <w:rsid w:val="001B4541"/>
    <w:rsid w:val="001C11C0"/>
    <w:rsid w:val="001C6A75"/>
    <w:rsid w:val="001D0AF4"/>
    <w:rsid w:val="001D6302"/>
    <w:rsid w:val="001F5A5B"/>
    <w:rsid w:val="00206A58"/>
    <w:rsid w:val="002075D1"/>
    <w:rsid w:val="00215370"/>
    <w:rsid w:val="00217EF0"/>
    <w:rsid w:val="00222CF0"/>
    <w:rsid w:val="00227903"/>
    <w:rsid w:val="002337CC"/>
    <w:rsid w:val="00247B35"/>
    <w:rsid w:val="00255BE2"/>
    <w:rsid w:val="00260A8A"/>
    <w:rsid w:val="00260BD6"/>
    <w:rsid w:val="00263524"/>
    <w:rsid w:val="002653D0"/>
    <w:rsid w:val="002722FE"/>
    <w:rsid w:val="00273A77"/>
    <w:rsid w:val="00294316"/>
    <w:rsid w:val="00295C79"/>
    <w:rsid w:val="00296828"/>
    <w:rsid w:val="002A595F"/>
    <w:rsid w:val="002B064A"/>
    <w:rsid w:val="002C5967"/>
    <w:rsid w:val="002D174A"/>
    <w:rsid w:val="002E522F"/>
    <w:rsid w:val="002F4412"/>
    <w:rsid w:val="002F607D"/>
    <w:rsid w:val="002F68A6"/>
    <w:rsid w:val="00300A0E"/>
    <w:rsid w:val="003105F6"/>
    <w:rsid w:val="00310A4B"/>
    <w:rsid w:val="00327328"/>
    <w:rsid w:val="00330051"/>
    <w:rsid w:val="00332774"/>
    <w:rsid w:val="00332BDB"/>
    <w:rsid w:val="003379E4"/>
    <w:rsid w:val="003449D8"/>
    <w:rsid w:val="003503A3"/>
    <w:rsid w:val="00351F00"/>
    <w:rsid w:val="00355683"/>
    <w:rsid w:val="00355C4E"/>
    <w:rsid w:val="00360ABF"/>
    <w:rsid w:val="00372860"/>
    <w:rsid w:val="00375E87"/>
    <w:rsid w:val="00381528"/>
    <w:rsid w:val="003833EB"/>
    <w:rsid w:val="00395D08"/>
    <w:rsid w:val="003A5FA4"/>
    <w:rsid w:val="003B0373"/>
    <w:rsid w:val="003B68F1"/>
    <w:rsid w:val="003C09F1"/>
    <w:rsid w:val="003C0CD5"/>
    <w:rsid w:val="003C4F92"/>
    <w:rsid w:val="003D1956"/>
    <w:rsid w:val="003F19E7"/>
    <w:rsid w:val="00404C17"/>
    <w:rsid w:val="00406AB9"/>
    <w:rsid w:val="00412D52"/>
    <w:rsid w:val="0041715B"/>
    <w:rsid w:val="00427070"/>
    <w:rsid w:val="00442E49"/>
    <w:rsid w:val="004510FB"/>
    <w:rsid w:val="0045447E"/>
    <w:rsid w:val="00471850"/>
    <w:rsid w:val="00472BE5"/>
    <w:rsid w:val="004741C0"/>
    <w:rsid w:val="00482F33"/>
    <w:rsid w:val="00483EB2"/>
    <w:rsid w:val="00490F2F"/>
    <w:rsid w:val="00496D3E"/>
    <w:rsid w:val="00497DAF"/>
    <w:rsid w:val="004A36F1"/>
    <w:rsid w:val="004A3F65"/>
    <w:rsid w:val="004A751B"/>
    <w:rsid w:val="004B1347"/>
    <w:rsid w:val="004B3148"/>
    <w:rsid w:val="004C6D3C"/>
    <w:rsid w:val="004D183A"/>
    <w:rsid w:val="004D55AF"/>
    <w:rsid w:val="004D7718"/>
    <w:rsid w:val="004E637D"/>
    <w:rsid w:val="00500922"/>
    <w:rsid w:val="00516356"/>
    <w:rsid w:val="00530252"/>
    <w:rsid w:val="00533DB3"/>
    <w:rsid w:val="00534BE5"/>
    <w:rsid w:val="00543E0A"/>
    <w:rsid w:val="00552D8C"/>
    <w:rsid w:val="00552DBD"/>
    <w:rsid w:val="00555C45"/>
    <w:rsid w:val="00557ED7"/>
    <w:rsid w:val="00561D82"/>
    <w:rsid w:val="005648CC"/>
    <w:rsid w:val="00570999"/>
    <w:rsid w:val="00571192"/>
    <w:rsid w:val="00573671"/>
    <w:rsid w:val="00576E3F"/>
    <w:rsid w:val="00587DA8"/>
    <w:rsid w:val="00592686"/>
    <w:rsid w:val="005A799D"/>
    <w:rsid w:val="005B2D68"/>
    <w:rsid w:val="005B3EB3"/>
    <w:rsid w:val="005B6592"/>
    <w:rsid w:val="005C0745"/>
    <w:rsid w:val="005C0E8F"/>
    <w:rsid w:val="005C4ACD"/>
    <w:rsid w:val="005D0EC9"/>
    <w:rsid w:val="005E54DA"/>
    <w:rsid w:val="005F0253"/>
    <w:rsid w:val="0060493F"/>
    <w:rsid w:val="006054C3"/>
    <w:rsid w:val="0061337B"/>
    <w:rsid w:val="00615578"/>
    <w:rsid w:val="00615FAA"/>
    <w:rsid w:val="006203C9"/>
    <w:rsid w:val="00621012"/>
    <w:rsid w:val="0062244A"/>
    <w:rsid w:val="00630427"/>
    <w:rsid w:val="00633093"/>
    <w:rsid w:val="006353B4"/>
    <w:rsid w:val="0063637A"/>
    <w:rsid w:val="00643B91"/>
    <w:rsid w:val="006459B3"/>
    <w:rsid w:val="00655EF3"/>
    <w:rsid w:val="00662550"/>
    <w:rsid w:val="00662CB6"/>
    <w:rsid w:val="00662DB5"/>
    <w:rsid w:val="00664241"/>
    <w:rsid w:val="0066641D"/>
    <w:rsid w:val="00667BF9"/>
    <w:rsid w:val="0068653A"/>
    <w:rsid w:val="00690AA3"/>
    <w:rsid w:val="006952DD"/>
    <w:rsid w:val="006A215F"/>
    <w:rsid w:val="006A41BC"/>
    <w:rsid w:val="006B184F"/>
    <w:rsid w:val="006B3718"/>
    <w:rsid w:val="006C0350"/>
    <w:rsid w:val="006C36BA"/>
    <w:rsid w:val="006C374A"/>
    <w:rsid w:val="006C3D0C"/>
    <w:rsid w:val="006D0564"/>
    <w:rsid w:val="006E0607"/>
    <w:rsid w:val="006F22EE"/>
    <w:rsid w:val="006F52CB"/>
    <w:rsid w:val="00700C7B"/>
    <w:rsid w:val="00704331"/>
    <w:rsid w:val="00720CDD"/>
    <w:rsid w:val="00720E27"/>
    <w:rsid w:val="00725A9D"/>
    <w:rsid w:val="00736651"/>
    <w:rsid w:val="007511DA"/>
    <w:rsid w:val="00754C34"/>
    <w:rsid w:val="00762E96"/>
    <w:rsid w:val="00774E78"/>
    <w:rsid w:val="00776768"/>
    <w:rsid w:val="00780195"/>
    <w:rsid w:val="00791C5F"/>
    <w:rsid w:val="007A09F1"/>
    <w:rsid w:val="007B0EBB"/>
    <w:rsid w:val="007B1A97"/>
    <w:rsid w:val="007C276E"/>
    <w:rsid w:val="007C60D6"/>
    <w:rsid w:val="007D636A"/>
    <w:rsid w:val="007E0B56"/>
    <w:rsid w:val="007E1690"/>
    <w:rsid w:val="007E329E"/>
    <w:rsid w:val="007E62CC"/>
    <w:rsid w:val="007E6C12"/>
    <w:rsid w:val="007F4BC4"/>
    <w:rsid w:val="007F71B4"/>
    <w:rsid w:val="00800FE9"/>
    <w:rsid w:val="00806D7D"/>
    <w:rsid w:val="00806F73"/>
    <w:rsid w:val="0081154B"/>
    <w:rsid w:val="00811785"/>
    <w:rsid w:val="00814C39"/>
    <w:rsid w:val="008151FA"/>
    <w:rsid w:val="0081676D"/>
    <w:rsid w:val="00817FB2"/>
    <w:rsid w:val="008229D6"/>
    <w:rsid w:val="008268ED"/>
    <w:rsid w:val="00837210"/>
    <w:rsid w:val="00874B0D"/>
    <w:rsid w:val="008866F2"/>
    <w:rsid w:val="00896EF2"/>
    <w:rsid w:val="008979D8"/>
    <w:rsid w:val="008A1306"/>
    <w:rsid w:val="008A4BE9"/>
    <w:rsid w:val="008B207C"/>
    <w:rsid w:val="008B3B10"/>
    <w:rsid w:val="008C4B74"/>
    <w:rsid w:val="008D4753"/>
    <w:rsid w:val="008E3F12"/>
    <w:rsid w:val="008F354B"/>
    <w:rsid w:val="009021D0"/>
    <w:rsid w:val="00913037"/>
    <w:rsid w:val="00913AC3"/>
    <w:rsid w:val="00920CCA"/>
    <w:rsid w:val="00921EB1"/>
    <w:rsid w:val="009240CC"/>
    <w:rsid w:val="0093050B"/>
    <w:rsid w:val="00954E49"/>
    <w:rsid w:val="009619F8"/>
    <w:rsid w:val="0096336B"/>
    <w:rsid w:val="009640CB"/>
    <w:rsid w:val="00970260"/>
    <w:rsid w:val="00970433"/>
    <w:rsid w:val="00975AE3"/>
    <w:rsid w:val="00976D8F"/>
    <w:rsid w:val="00977B3A"/>
    <w:rsid w:val="009817EC"/>
    <w:rsid w:val="00981961"/>
    <w:rsid w:val="00984C66"/>
    <w:rsid w:val="00996392"/>
    <w:rsid w:val="009A1ED8"/>
    <w:rsid w:val="009B73A3"/>
    <w:rsid w:val="009B7828"/>
    <w:rsid w:val="009D39E0"/>
    <w:rsid w:val="009D65CF"/>
    <w:rsid w:val="009F1B93"/>
    <w:rsid w:val="00A02DD4"/>
    <w:rsid w:val="00A23078"/>
    <w:rsid w:val="00A25656"/>
    <w:rsid w:val="00A44342"/>
    <w:rsid w:val="00A45689"/>
    <w:rsid w:val="00A50FE3"/>
    <w:rsid w:val="00A511BE"/>
    <w:rsid w:val="00A6185C"/>
    <w:rsid w:val="00A71840"/>
    <w:rsid w:val="00A83CDD"/>
    <w:rsid w:val="00A93F72"/>
    <w:rsid w:val="00A9459D"/>
    <w:rsid w:val="00AB0C57"/>
    <w:rsid w:val="00AB0D94"/>
    <w:rsid w:val="00AC7DEB"/>
    <w:rsid w:val="00AD45A0"/>
    <w:rsid w:val="00AE6AC9"/>
    <w:rsid w:val="00AE7569"/>
    <w:rsid w:val="00AF03BC"/>
    <w:rsid w:val="00B04CF5"/>
    <w:rsid w:val="00B05ADF"/>
    <w:rsid w:val="00B33403"/>
    <w:rsid w:val="00B376E2"/>
    <w:rsid w:val="00B40FED"/>
    <w:rsid w:val="00B4156D"/>
    <w:rsid w:val="00B42A21"/>
    <w:rsid w:val="00B530FE"/>
    <w:rsid w:val="00B57B29"/>
    <w:rsid w:val="00B61E7B"/>
    <w:rsid w:val="00B62DC2"/>
    <w:rsid w:val="00B62FEE"/>
    <w:rsid w:val="00B709D2"/>
    <w:rsid w:val="00B76011"/>
    <w:rsid w:val="00B8260C"/>
    <w:rsid w:val="00B903CF"/>
    <w:rsid w:val="00B90DB6"/>
    <w:rsid w:val="00BA2208"/>
    <w:rsid w:val="00BA4E1F"/>
    <w:rsid w:val="00BB7455"/>
    <w:rsid w:val="00BC0D05"/>
    <w:rsid w:val="00BC79D2"/>
    <w:rsid w:val="00BD27F2"/>
    <w:rsid w:val="00BD3170"/>
    <w:rsid w:val="00BD379B"/>
    <w:rsid w:val="00BD5604"/>
    <w:rsid w:val="00BE2890"/>
    <w:rsid w:val="00BE7658"/>
    <w:rsid w:val="00BF4C9F"/>
    <w:rsid w:val="00C00D59"/>
    <w:rsid w:val="00C038AF"/>
    <w:rsid w:val="00C20863"/>
    <w:rsid w:val="00C2414C"/>
    <w:rsid w:val="00C310C7"/>
    <w:rsid w:val="00C34378"/>
    <w:rsid w:val="00C41D58"/>
    <w:rsid w:val="00C43F1E"/>
    <w:rsid w:val="00C47EFA"/>
    <w:rsid w:val="00C52A04"/>
    <w:rsid w:val="00C55B77"/>
    <w:rsid w:val="00C64B8B"/>
    <w:rsid w:val="00C74C16"/>
    <w:rsid w:val="00C77ACC"/>
    <w:rsid w:val="00C93908"/>
    <w:rsid w:val="00CA683D"/>
    <w:rsid w:val="00CB015E"/>
    <w:rsid w:val="00CB6CE8"/>
    <w:rsid w:val="00CC057A"/>
    <w:rsid w:val="00CC7F85"/>
    <w:rsid w:val="00CE3794"/>
    <w:rsid w:val="00CE389E"/>
    <w:rsid w:val="00CE38C5"/>
    <w:rsid w:val="00CE51EC"/>
    <w:rsid w:val="00CE611F"/>
    <w:rsid w:val="00CF24BF"/>
    <w:rsid w:val="00CF3054"/>
    <w:rsid w:val="00CF4AE6"/>
    <w:rsid w:val="00D078AD"/>
    <w:rsid w:val="00D10D91"/>
    <w:rsid w:val="00D12253"/>
    <w:rsid w:val="00D129CC"/>
    <w:rsid w:val="00D16196"/>
    <w:rsid w:val="00D175DB"/>
    <w:rsid w:val="00D22890"/>
    <w:rsid w:val="00D37484"/>
    <w:rsid w:val="00D4498B"/>
    <w:rsid w:val="00D45863"/>
    <w:rsid w:val="00D54318"/>
    <w:rsid w:val="00D54D16"/>
    <w:rsid w:val="00D5568E"/>
    <w:rsid w:val="00D62003"/>
    <w:rsid w:val="00D65E60"/>
    <w:rsid w:val="00D66094"/>
    <w:rsid w:val="00D776F6"/>
    <w:rsid w:val="00D9095C"/>
    <w:rsid w:val="00D91BBB"/>
    <w:rsid w:val="00D97250"/>
    <w:rsid w:val="00D973BA"/>
    <w:rsid w:val="00DA62D4"/>
    <w:rsid w:val="00DA69DB"/>
    <w:rsid w:val="00DB085A"/>
    <w:rsid w:val="00DB26AF"/>
    <w:rsid w:val="00DC0A49"/>
    <w:rsid w:val="00DC285C"/>
    <w:rsid w:val="00DC4203"/>
    <w:rsid w:val="00DD0C31"/>
    <w:rsid w:val="00DD5BE5"/>
    <w:rsid w:val="00DE124C"/>
    <w:rsid w:val="00DE1C1E"/>
    <w:rsid w:val="00DF6E26"/>
    <w:rsid w:val="00E0256D"/>
    <w:rsid w:val="00E03CB7"/>
    <w:rsid w:val="00E139B8"/>
    <w:rsid w:val="00E20152"/>
    <w:rsid w:val="00E23CF4"/>
    <w:rsid w:val="00E24B92"/>
    <w:rsid w:val="00E35C35"/>
    <w:rsid w:val="00E46FD9"/>
    <w:rsid w:val="00E50B2B"/>
    <w:rsid w:val="00E5183B"/>
    <w:rsid w:val="00E57875"/>
    <w:rsid w:val="00E64A70"/>
    <w:rsid w:val="00E65AB6"/>
    <w:rsid w:val="00E70C3A"/>
    <w:rsid w:val="00E72232"/>
    <w:rsid w:val="00E74A39"/>
    <w:rsid w:val="00E758D3"/>
    <w:rsid w:val="00E75E4E"/>
    <w:rsid w:val="00E818F6"/>
    <w:rsid w:val="00E85BDC"/>
    <w:rsid w:val="00EB0A00"/>
    <w:rsid w:val="00EB0E86"/>
    <w:rsid w:val="00EB11FD"/>
    <w:rsid w:val="00EC11F7"/>
    <w:rsid w:val="00EC2E37"/>
    <w:rsid w:val="00EC435B"/>
    <w:rsid w:val="00EC4947"/>
    <w:rsid w:val="00EE000F"/>
    <w:rsid w:val="00EE5C62"/>
    <w:rsid w:val="00EE5FF6"/>
    <w:rsid w:val="00EF03E3"/>
    <w:rsid w:val="00EF4183"/>
    <w:rsid w:val="00F128DC"/>
    <w:rsid w:val="00F13611"/>
    <w:rsid w:val="00F1736D"/>
    <w:rsid w:val="00F22B4B"/>
    <w:rsid w:val="00F25C39"/>
    <w:rsid w:val="00F27C8F"/>
    <w:rsid w:val="00F330CF"/>
    <w:rsid w:val="00F34FE3"/>
    <w:rsid w:val="00F44236"/>
    <w:rsid w:val="00F47C0F"/>
    <w:rsid w:val="00F6638C"/>
    <w:rsid w:val="00F77E3F"/>
    <w:rsid w:val="00F811C2"/>
    <w:rsid w:val="00F83F5B"/>
    <w:rsid w:val="00F84C27"/>
    <w:rsid w:val="00F915D4"/>
    <w:rsid w:val="00F94D6B"/>
    <w:rsid w:val="00F95483"/>
    <w:rsid w:val="00FA676C"/>
    <w:rsid w:val="00FC720C"/>
    <w:rsid w:val="00FD05F1"/>
    <w:rsid w:val="00FD0F88"/>
    <w:rsid w:val="00FD486B"/>
    <w:rsid w:val="00FF2ED0"/>
    <w:rsid w:val="00FF4AEF"/>
    <w:rsid w:val="00FF5F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64C68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183A"/>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D183A"/>
    <w:rPr>
      <w:color w:val="0563C1"/>
      <w:u w:val="single"/>
    </w:rPr>
  </w:style>
  <w:style w:type="paragraph" w:styleId="Header">
    <w:name w:val="header"/>
    <w:basedOn w:val="Normal"/>
    <w:link w:val="HeaderChar"/>
    <w:uiPriority w:val="99"/>
    <w:unhideWhenUsed/>
    <w:rsid w:val="004D183A"/>
    <w:pPr>
      <w:tabs>
        <w:tab w:val="center" w:pos="4513"/>
        <w:tab w:val="right" w:pos="9026"/>
      </w:tabs>
    </w:pPr>
  </w:style>
  <w:style w:type="character" w:customStyle="1" w:styleId="HeaderChar">
    <w:name w:val="Header Char"/>
    <w:basedOn w:val="DefaultParagraphFont"/>
    <w:link w:val="Header"/>
    <w:uiPriority w:val="99"/>
    <w:rsid w:val="004D183A"/>
    <w:rPr>
      <w:rFonts w:ascii="Calibri" w:hAnsi="Calibri" w:cs="Times New Roman"/>
    </w:rPr>
  </w:style>
  <w:style w:type="paragraph" w:styleId="Footer">
    <w:name w:val="footer"/>
    <w:basedOn w:val="Normal"/>
    <w:link w:val="FooterChar"/>
    <w:uiPriority w:val="99"/>
    <w:unhideWhenUsed/>
    <w:rsid w:val="004D183A"/>
    <w:pPr>
      <w:tabs>
        <w:tab w:val="center" w:pos="4513"/>
        <w:tab w:val="right" w:pos="9026"/>
      </w:tabs>
    </w:pPr>
  </w:style>
  <w:style w:type="character" w:customStyle="1" w:styleId="FooterChar">
    <w:name w:val="Footer Char"/>
    <w:basedOn w:val="DefaultParagraphFont"/>
    <w:link w:val="Footer"/>
    <w:uiPriority w:val="99"/>
    <w:rsid w:val="004D183A"/>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16930640">
      <w:bodyDiv w:val="1"/>
      <w:marLeft w:val="0"/>
      <w:marRight w:val="0"/>
      <w:marTop w:val="0"/>
      <w:marBottom w:val="0"/>
      <w:divBdr>
        <w:top w:val="none" w:sz="0" w:space="0" w:color="auto"/>
        <w:left w:val="none" w:sz="0" w:space="0" w:color="auto"/>
        <w:bottom w:val="none" w:sz="0" w:space="0" w:color="auto"/>
        <w:right w:val="none" w:sz="0" w:space="0" w:color="auto"/>
      </w:divBdr>
    </w:div>
    <w:div w:id="1118449832">
      <w:bodyDiv w:val="1"/>
      <w:marLeft w:val="0"/>
      <w:marRight w:val="0"/>
      <w:marTop w:val="0"/>
      <w:marBottom w:val="0"/>
      <w:divBdr>
        <w:top w:val="none" w:sz="0" w:space="0" w:color="auto"/>
        <w:left w:val="none" w:sz="0" w:space="0" w:color="auto"/>
        <w:bottom w:val="none" w:sz="0" w:space="0" w:color="auto"/>
        <w:right w:val="none" w:sz="0" w:space="0" w:color="auto"/>
      </w:divBdr>
    </w:div>
    <w:div w:id="1540506549">
      <w:bodyDiv w:val="1"/>
      <w:marLeft w:val="0"/>
      <w:marRight w:val="0"/>
      <w:marTop w:val="0"/>
      <w:marBottom w:val="0"/>
      <w:divBdr>
        <w:top w:val="none" w:sz="0" w:space="0" w:color="auto"/>
        <w:left w:val="none" w:sz="0" w:space="0" w:color="auto"/>
        <w:bottom w:val="none" w:sz="0" w:space="0" w:color="auto"/>
        <w:right w:val="none" w:sz="0" w:space="0" w:color="auto"/>
      </w:divBdr>
    </w:div>
    <w:div w:id="1734742066">
      <w:bodyDiv w:val="1"/>
      <w:marLeft w:val="0"/>
      <w:marRight w:val="0"/>
      <w:marTop w:val="0"/>
      <w:marBottom w:val="0"/>
      <w:divBdr>
        <w:top w:val="none" w:sz="0" w:space="0" w:color="auto"/>
        <w:left w:val="none" w:sz="0" w:space="0" w:color="auto"/>
        <w:bottom w:val="none" w:sz="0" w:space="0" w:color="auto"/>
        <w:right w:val="none" w:sz="0" w:space="0" w:color="auto"/>
      </w:divBdr>
    </w:div>
    <w:div w:id="1982152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gislation.gov.uk/uksi/2015/102/regulation/2/made"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assets.publishing.service.gov.uk/government/uploads/system/uploads/attachment_data/file/825719/ESIF-GN-1-001_ESIF_National_Procurement_Requirements_v6.pdf" TargetMode="External"/><Relationship Id="rId12" Type="http://schemas.openxmlformats.org/officeDocument/2006/relationships/hyperlink" Target="https://ec.europa.eu/regional_policy/sources/docgener/informat/2014/GL_corrections_pp_irregularities_annex_EN.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ssets.publishing.service.gov.uk/government/uploads/system/uploads/attachment_data/file/825719/ESIF-GN-1-001_ESIF_National_Procurement_Requirements_v6.pdf"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assets.publishing.service.gov.uk/government/uploads/system/uploads/attachment_data/file/825574/039-19_Revised_EU_Procurement_Requirements.pdf" TargetMode="External"/><Relationship Id="rId4" Type="http://schemas.openxmlformats.org/officeDocument/2006/relationships/webSettings" Target="webSettings.xml"/><Relationship Id="rId9" Type="http://schemas.openxmlformats.org/officeDocument/2006/relationships/hyperlink" Target="http://www.legislation.gov.uk/uksi/2006/5/pdfs/uksi_20060005_en.pdf"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1013</Words>
  <Characters>5780</Characters>
  <Application>Microsoft Office Word</Application>
  <DocSecurity>0</DocSecurity>
  <Lines>48</Lines>
  <Paragraphs>13</Paragraphs>
  <ScaleCrop>false</ScaleCrop>
  <Company/>
  <LinksUpToDate>false</LinksUpToDate>
  <CharactersWithSpaces>6780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2021-12-14T13:47:00Z</dcterms:created>
  <dcterms:modified xsi:type="dcterms:W3CDTF">2021-12-14T13:47:00Z</dcterms:modified>
</cp:coreProperties>
</file>