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A31" w:rsidRDefault="00AB7A31">
      <w:pPr>
        <w:rPr>
          <w:b/>
          <w:color w:val="EC008C"/>
        </w:rPr>
      </w:pPr>
      <w:bookmarkStart w:id="0" w:name="_GoBack"/>
      <w:bookmarkEnd w:id="0"/>
    </w:p>
    <w:p w:rsidR="003D6A92" w:rsidRPr="00AB7A31" w:rsidRDefault="00AB7A31" w:rsidP="00CD3C88">
      <w:pPr>
        <w:spacing w:after="0"/>
        <w:rPr>
          <w:b/>
          <w:color w:val="EC008C"/>
          <w:sz w:val="28"/>
          <w:szCs w:val="28"/>
        </w:rPr>
      </w:pPr>
      <w:r w:rsidRPr="00AB7A31">
        <w:rPr>
          <w:b/>
          <w:color w:val="EC008C"/>
          <w:sz w:val="28"/>
          <w:szCs w:val="28"/>
        </w:rPr>
        <w:t xml:space="preserve">Questions and Answers Arising from BBO </w:t>
      </w:r>
      <w:r w:rsidR="00951E00">
        <w:rPr>
          <w:b/>
          <w:color w:val="EC008C"/>
          <w:sz w:val="28"/>
          <w:szCs w:val="28"/>
        </w:rPr>
        <w:t>Grant Holder</w:t>
      </w:r>
      <w:r w:rsidRPr="00AB7A31">
        <w:rPr>
          <w:b/>
          <w:color w:val="EC008C"/>
          <w:sz w:val="28"/>
          <w:szCs w:val="28"/>
        </w:rPr>
        <w:t xml:space="preserve"> Events</w:t>
      </w:r>
    </w:p>
    <w:p w:rsidR="00316FEC" w:rsidRPr="00BD563F" w:rsidRDefault="00316FEC" w:rsidP="00CD3C88">
      <w:pPr>
        <w:spacing w:after="0"/>
        <w:rPr>
          <w:sz w:val="24"/>
          <w:szCs w:val="24"/>
        </w:rPr>
      </w:pPr>
    </w:p>
    <w:p w:rsidR="00ED3F3B" w:rsidRPr="00ED3F3B" w:rsidRDefault="00ED3F3B" w:rsidP="00CD3C88">
      <w:pPr>
        <w:spacing w:after="0"/>
        <w:rPr>
          <w:b/>
          <w:color w:val="EC008C"/>
          <w:sz w:val="24"/>
          <w:szCs w:val="24"/>
        </w:rPr>
      </w:pPr>
      <w:r w:rsidRPr="00ED3F3B">
        <w:rPr>
          <w:b/>
          <w:color w:val="EC008C"/>
          <w:sz w:val="24"/>
          <w:szCs w:val="24"/>
        </w:rPr>
        <w:t>Participants</w:t>
      </w:r>
    </w:p>
    <w:p w:rsidR="00ED3F3B" w:rsidRDefault="00ED3F3B" w:rsidP="00CD3C88">
      <w:pPr>
        <w:spacing w:after="0"/>
        <w:rPr>
          <w:sz w:val="24"/>
          <w:szCs w:val="24"/>
        </w:rPr>
      </w:pP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color w:val="000000"/>
          <w:sz w:val="24"/>
          <w:szCs w:val="24"/>
          <w:lang w:eastAsia="en-GB"/>
        </w:rPr>
        <w:t>What date should we use for start date on Annex H/L and what pre-engagement activities should be recorded on the progress form?</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sz w:val="24"/>
          <w:szCs w:val="24"/>
          <w:lang w:eastAsia="en-GB"/>
        </w:rPr>
      </w:pPr>
      <w:r w:rsidRPr="00ED3F3B">
        <w:rPr>
          <w:rFonts w:eastAsia="Times New Roman" w:cs="Trebuchet MS"/>
          <w:sz w:val="24"/>
          <w:szCs w:val="24"/>
          <w:lang w:eastAsia="en-GB"/>
        </w:rPr>
        <w:t xml:space="preserve">The start date for an eligible participant is the date that learning or support has actually begun.  It should not simply be an eligibility check or the activity of enrolment but it could be a needs assessment activity if it is sufficiently thorough and meaningful and has resulted in a clear plan of action going forward to meet the participant's needs and the participant is fully engaged in this. </w:t>
      </w:r>
      <w:r w:rsidRPr="00ED3F3B">
        <w:rPr>
          <w:rFonts w:eastAsia="Times New Roman" w:cs="Trebuchet MS"/>
          <w:sz w:val="24"/>
          <w:szCs w:val="24"/>
          <w:lang w:eastAsia="en-GB"/>
        </w:rPr>
        <w:br/>
      </w:r>
      <w:r w:rsidRPr="00ED3F3B">
        <w:rPr>
          <w:rFonts w:eastAsia="Times New Roman" w:cs="Trebuchet MS"/>
          <w:sz w:val="24"/>
          <w:szCs w:val="24"/>
          <w:lang w:eastAsia="en-GB"/>
        </w:rPr>
        <w:br/>
        <w:t>Only meaningful activities occurring after induction should be recorded on the progress form.</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color w:val="000000"/>
          <w:sz w:val="24"/>
          <w:szCs w:val="24"/>
          <w:lang w:eastAsia="en-GB"/>
        </w:rPr>
        <w:t>Does the receipt of certain types of benefit act as evidence of unemployment / economic inactivity. For example, Carer Allowance, Disability Living Allowance etc.?</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color w:val="000000"/>
          <w:sz w:val="24"/>
          <w:szCs w:val="24"/>
          <w:lang w:eastAsia="en-GB"/>
        </w:rPr>
      </w:pPr>
      <w:r w:rsidRPr="00ED3F3B">
        <w:rPr>
          <w:rFonts w:eastAsia="Times New Roman" w:cs="Trebuchet MS"/>
          <w:color w:val="000000"/>
          <w:sz w:val="24"/>
          <w:szCs w:val="24"/>
          <w:lang w:eastAsia="en-GB"/>
        </w:rPr>
        <w:t xml:space="preserve">To be economically inactive a person must not be in paid employment, self-employment and are not available for or not seeking work. </w:t>
      </w:r>
      <w:r w:rsidRPr="00ED3F3B">
        <w:rPr>
          <w:rFonts w:eastAsia="Times New Roman" w:cs="Trebuchet MS"/>
          <w:color w:val="000000"/>
          <w:sz w:val="24"/>
          <w:szCs w:val="24"/>
          <w:lang w:eastAsia="en-GB"/>
        </w:rPr>
        <w:br/>
      </w:r>
      <w:r w:rsidRPr="00ED3F3B">
        <w:rPr>
          <w:rFonts w:eastAsia="Times New Roman" w:cs="Trebuchet MS"/>
          <w:color w:val="000000"/>
          <w:sz w:val="24"/>
          <w:szCs w:val="24"/>
          <w:lang w:eastAsia="en-GB"/>
        </w:rPr>
        <w:br/>
        <w:t xml:space="preserve">It is possible for people in receipt of Carers Allowance to be in paid work and those in receipt of Incapacity Benefit, Employment and Support Allowance or Disability Living Allowance are allowed to do some 'permitted work' , which may be paid.  They may also be available for work or be seeking work. </w:t>
      </w:r>
      <w:r w:rsidRPr="00ED3F3B">
        <w:rPr>
          <w:rFonts w:eastAsia="Times New Roman" w:cs="Trebuchet MS"/>
          <w:color w:val="000000"/>
          <w:sz w:val="24"/>
          <w:szCs w:val="24"/>
          <w:lang w:eastAsia="en-GB"/>
        </w:rPr>
        <w:br/>
      </w:r>
      <w:r w:rsidRPr="00ED3F3B">
        <w:rPr>
          <w:rFonts w:eastAsia="Times New Roman" w:cs="Trebuchet MS"/>
          <w:color w:val="000000"/>
          <w:sz w:val="24"/>
          <w:szCs w:val="24"/>
          <w:lang w:eastAsia="en-GB"/>
        </w:rPr>
        <w:br/>
        <w:t>As a result, receipt of those benefits on its own is an indicator of but not sufficient evidence of economic inactivity.</w:t>
      </w:r>
      <w:r w:rsidRPr="00ED3F3B">
        <w:rPr>
          <w:rFonts w:eastAsia="Times New Roman" w:cs="Trebuchet MS"/>
          <w:color w:val="000000"/>
          <w:sz w:val="24"/>
          <w:szCs w:val="24"/>
          <w:lang w:eastAsia="en-GB"/>
        </w:rPr>
        <w:br/>
      </w:r>
      <w:r w:rsidRPr="00ED3F3B">
        <w:rPr>
          <w:rFonts w:eastAsia="Times New Roman" w:cs="Trebuchet MS"/>
          <w:color w:val="000000"/>
          <w:sz w:val="24"/>
          <w:szCs w:val="24"/>
          <w:lang w:eastAsia="en-GB"/>
        </w:rPr>
        <w:br/>
        <w:t>We expect the hierarchy of evidence outlined in our guidance to be followed when making a judgement about whether the person is economically inactive and where evidence cannot be obtained the use of a risk-based exception may be appropriate.</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bCs/>
          <w:color w:val="000000"/>
          <w:sz w:val="24"/>
          <w:szCs w:val="24"/>
          <w:lang w:eastAsia="en-GB"/>
        </w:rPr>
        <w:t>Data protection statement</w:t>
      </w:r>
      <w:r w:rsidRPr="00ED3F3B">
        <w:rPr>
          <w:rFonts w:eastAsia="Times New Roman" w:cs="Trebuchet MS"/>
          <w:b/>
          <w:color w:val="000000"/>
          <w:sz w:val="24"/>
          <w:szCs w:val="24"/>
          <w:lang w:eastAsia="en-GB"/>
        </w:rPr>
        <w:t xml:space="preserve"> – Should the data protection statements in your guidance detailing data controllers and data processors also include grant holders and partner organisations as being data processors? </w:t>
      </w:r>
    </w:p>
    <w:p w:rsidR="00ED3F3B" w:rsidRDefault="00ED3F3B" w:rsidP="00ED3F3B">
      <w:pPr>
        <w:spacing w:after="0"/>
        <w:rPr>
          <w:sz w:val="24"/>
          <w:szCs w:val="24"/>
        </w:rPr>
      </w:pPr>
    </w:p>
    <w:p w:rsidR="00ED3F3B" w:rsidRPr="003A0E37" w:rsidRDefault="003A0E37" w:rsidP="003A0E37">
      <w:pPr>
        <w:spacing w:after="0"/>
        <w:rPr>
          <w:sz w:val="24"/>
          <w:szCs w:val="24"/>
        </w:rPr>
        <w:sectPr w:rsidR="00ED3F3B" w:rsidRPr="003A0E37" w:rsidSect="00AB7A31">
          <w:headerReference w:type="default" r:id="rId7"/>
          <w:pgSz w:w="11906" w:h="16838"/>
          <w:pgMar w:top="1440" w:right="1440" w:bottom="1440" w:left="1440" w:header="284" w:footer="708" w:gutter="0"/>
          <w:cols w:space="708"/>
          <w:docGrid w:linePitch="360"/>
        </w:sectPr>
      </w:pPr>
      <w:r>
        <w:rPr>
          <w:rFonts w:eastAsia="Times New Roman" w:cs="Trebuchet MS"/>
          <w:sz w:val="24"/>
          <w:szCs w:val="24"/>
          <w:lang w:eastAsia="en-GB"/>
        </w:rPr>
        <w:t>We are awaiting further legal guidance on this. We will feedback when we have this guidance, but cannot say when this is expected.</w:t>
      </w: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bCs/>
          <w:color w:val="000000"/>
          <w:sz w:val="24"/>
          <w:szCs w:val="24"/>
          <w:lang w:eastAsia="en-GB"/>
        </w:rPr>
        <w:lastRenderedPageBreak/>
        <w:t>Electronic signature</w:t>
      </w:r>
      <w:r w:rsidRPr="00ED3F3B">
        <w:rPr>
          <w:rFonts w:eastAsia="Times New Roman" w:cs="Trebuchet MS"/>
          <w:b/>
          <w:color w:val="000000"/>
          <w:sz w:val="24"/>
          <w:szCs w:val="24"/>
          <w:lang w:eastAsia="en-GB"/>
        </w:rPr>
        <w:t xml:space="preserve">s – Can you provide more detail on how to use and when electronic signatures are allowable. </w:t>
      </w:r>
    </w:p>
    <w:p w:rsidR="00ED3F3B" w:rsidRDefault="00ED3F3B" w:rsidP="00ED3F3B">
      <w:pPr>
        <w:spacing w:after="0"/>
        <w:rPr>
          <w:sz w:val="24"/>
          <w:szCs w:val="24"/>
        </w:rPr>
      </w:pPr>
    </w:p>
    <w:p w:rsidR="00ED3F3B" w:rsidRDefault="00ED3F3B" w:rsidP="00ED3F3B">
      <w:pPr>
        <w:spacing w:after="0" w:line="240" w:lineRule="auto"/>
        <w:rPr>
          <w:rFonts w:eastAsia="Times New Roman" w:cs="Trebuchet MS"/>
          <w:color w:val="000000"/>
          <w:sz w:val="24"/>
          <w:szCs w:val="24"/>
          <w:lang w:eastAsia="en-GB"/>
        </w:rPr>
      </w:pPr>
      <w:r w:rsidRPr="00ED3F3B">
        <w:rPr>
          <w:rFonts w:eastAsia="Times New Roman" w:cs="Trebuchet MS"/>
          <w:color w:val="000000"/>
          <w:sz w:val="24"/>
          <w:szCs w:val="24"/>
          <w:lang w:eastAsia="en-GB"/>
        </w:rPr>
        <w:t>Guidance on document retention and electronic signatures can be foun</w:t>
      </w:r>
      <w:r>
        <w:rPr>
          <w:rFonts w:eastAsia="Times New Roman" w:cs="Trebuchet MS"/>
          <w:color w:val="000000"/>
          <w:sz w:val="24"/>
          <w:szCs w:val="24"/>
          <w:lang w:eastAsia="en-GB"/>
        </w:rPr>
        <w:t xml:space="preserve">d in ESF guidance material: </w:t>
      </w:r>
      <w:r>
        <w:rPr>
          <w:rFonts w:eastAsia="Times New Roman" w:cs="Trebuchet MS"/>
          <w:color w:val="000000"/>
          <w:sz w:val="24"/>
          <w:szCs w:val="24"/>
          <w:lang w:eastAsia="en-GB"/>
        </w:rPr>
        <w:br/>
      </w:r>
    </w:p>
    <w:p w:rsidR="00ED3F3B" w:rsidRDefault="003B1311" w:rsidP="00ED3F3B">
      <w:pPr>
        <w:spacing w:after="0" w:line="240" w:lineRule="auto"/>
        <w:ind w:left="357"/>
        <w:rPr>
          <w:rFonts w:eastAsia="Times New Roman" w:cs="Trebuchet MS"/>
          <w:color w:val="000000"/>
          <w:sz w:val="24"/>
          <w:szCs w:val="24"/>
          <w:lang w:eastAsia="en-GB"/>
        </w:rPr>
      </w:pPr>
      <w:hyperlink r:id="rId8" w:history="1">
        <w:r w:rsidR="00ED3F3B" w:rsidRPr="00ED3F3B">
          <w:rPr>
            <w:rStyle w:val="Hyperlink"/>
            <w:rFonts w:eastAsia="Times New Roman" w:cs="Trebuchet MS"/>
            <w:sz w:val="24"/>
            <w:szCs w:val="24"/>
            <w:lang w:eastAsia="en-GB"/>
          </w:rPr>
          <w:t>https://www.gov.uk/government/uploads/system/uploads/attachment_data/file/578823/ESF_2014-2020_Programme_Guidance.pdf</w:t>
        </w:r>
      </w:hyperlink>
      <w:r w:rsidR="00ED3F3B">
        <w:rPr>
          <w:rFonts w:eastAsia="Times New Roman" w:cs="Trebuchet MS"/>
          <w:color w:val="000000"/>
          <w:sz w:val="24"/>
          <w:szCs w:val="24"/>
          <w:lang w:eastAsia="en-GB"/>
        </w:rPr>
        <w:br/>
      </w:r>
    </w:p>
    <w:p w:rsidR="00ED3F3B" w:rsidRPr="00ED3F3B" w:rsidRDefault="003B1311" w:rsidP="00ED3F3B">
      <w:pPr>
        <w:spacing w:after="0" w:line="240" w:lineRule="auto"/>
        <w:ind w:left="357"/>
        <w:rPr>
          <w:rFonts w:eastAsia="Times New Roman" w:cs="Trebuchet MS"/>
          <w:color w:val="000000"/>
          <w:sz w:val="24"/>
          <w:szCs w:val="24"/>
          <w:lang w:eastAsia="en-GB"/>
        </w:rPr>
      </w:pPr>
      <w:hyperlink r:id="rId9" w:history="1">
        <w:r w:rsidR="00ED3F3B" w:rsidRPr="00ED3F3B">
          <w:rPr>
            <w:rStyle w:val="Hyperlink"/>
            <w:rFonts w:eastAsia="Times New Roman" w:cs="Trebuchet MS"/>
            <w:sz w:val="24"/>
            <w:szCs w:val="24"/>
            <w:lang w:eastAsia="en-GB"/>
          </w:rPr>
          <w:t>https://www.gov.uk/government/uploads/system/uploads/attachment_data/file/591617/ESF_Guidance_on_document_retention.pdf</w:t>
        </w:r>
      </w:hyperlink>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bCs/>
          <w:color w:val="000000"/>
          <w:sz w:val="24"/>
          <w:szCs w:val="24"/>
          <w:lang w:eastAsia="en-GB"/>
        </w:rPr>
        <w:t>Participant results</w:t>
      </w:r>
      <w:r w:rsidRPr="00ED3F3B">
        <w:rPr>
          <w:rFonts w:eastAsia="Times New Roman" w:cs="Trebuchet MS"/>
          <w:b/>
          <w:color w:val="000000"/>
          <w:sz w:val="24"/>
          <w:szCs w:val="24"/>
          <w:lang w:eastAsia="en-GB"/>
        </w:rPr>
        <w:t xml:space="preserve"> – What participant results can be claimed against each outcome and when can you claim two results e.g. further learning and job progression, job search and employment or job search and further learning? </w:t>
      </w:r>
    </w:p>
    <w:p w:rsidR="00ED3F3B" w:rsidRDefault="00ED3F3B" w:rsidP="00ED3F3B">
      <w:pPr>
        <w:spacing w:after="0"/>
        <w:rPr>
          <w:sz w:val="24"/>
          <w:szCs w:val="24"/>
        </w:rPr>
      </w:pPr>
    </w:p>
    <w:p w:rsidR="00ED3F3B" w:rsidRDefault="00ED3F3B" w:rsidP="00ED3F3B">
      <w:pPr>
        <w:spacing w:after="0" w:line="240" w:lineRule="auto"/>
        <w:rPr>
          <w:rFonts w:eastAsia="Times New Roman" w:cs="Trebuchet MS"/>
          <w:sz w:val="24"/>
          <w:szCs w:val="24"/>
          <w:lang w:eastAsia="en-GB"/>
        </w:rPr>
      </w:pPr>
      <w:r w:rsidRPr="00ED3F3B">
        <w:rPr>
          <w:rFonts w:eastAsia="Times New Roman" w:cs="Trebuchet MS"/>
          <w:sz w:val="24"/>
          <w:szCs w:val="24"/>
          <w:lang w:eastAsia="en-GB"/>
        </w:rPr>
        <w:t>A result that can be claimed depends on:</w:t>
      </w:r>
      <w:r w:rsidRPr="00ED3F3B">
        <w:rPr>
          <w:rFonts w:eastAsia="Times New Roman" w:cs="Trebuchet MS"/>
          <w:sz w:val="24"/>
          <w:szCs w:val="24"/>
          <w:lang w:eastAsia="en-GB"/>
        </w:rPr>
        <w:br/>
      </w:r>
    </w:p>
    <w:p w:rsidR="00ED3F3B" w:rsidRDefault="00ED3F3B" w:rsidP="00ED3F3B">
      <w:pPr>
        <w:pStyle w:val="ListParagraph"/>
        <w:numPr>
          <w:ilvl w:val="0"/>
          <w:numId w:val="2"/>
        </w:numPr>
        <w:spacing w:after="0" w:line="240" w:lineRule="auto"/>
        <w:ind w:left="357" w:hanging="357"/>
        <w:rPr>
          <w:rFonts w:eastAsia="Times New Roman" w:cs="Trebuchet MS"/>
          <w:sz w:val="24"/>
          <w:szCs w:val="24"/>
          <w:lang w:eastAsia="en-GB"/>
        </w:rPr>
      </w:pPr>
      <w:r w:rsidRPr="00ED3F3B">
        <w:rPr>
          <w:rFonts w:eastAsia="Times New Roman" w:cs="Trebuchet MS"/>
          <w:sz w:val="24"/>
          <w:szCs w:val="24"/>
          <w:lang w:eastAsia="en-GB"/>
        </w:rPr>
        <w:t>the participant status (outcome) when they first join the project, or their status when they first joined the first BBO project where they have moved between BBO projects; and</w:t>
      </w:r>
    </w:p>
    <w:p w:rsidR="00ED3F3B" w:rsidRPr="00ED3F3B" w:rsidRDefault="00ED3F3B" w:rsidP="00ED3F3B">
      <w:pPr>
        <w:pStyle w:val="ListParagraph"/>
        <w:numPr>
          <w:ilvl w:val="0"/>
          <w:numId w:val="2"/>
        </w:numPr>
        <w:spacing w:after="0" w:line="240" w:lineRule="auto"/>
        <w:ind w:left="357" w:hanging="357"/>
        <w:rPr>
          <w:rFonts w:eastAsia="Times New Roman" w:cs="Trebuchet MS"/>
          <w:sz w:val="24"/>
          <w:szCs w:val="24"/>
          <w:lang w:eastAsia="en-GB"/>
        </w:rPr>
      </w:pPr>
      <w:r w:rsidRPr="00ED3F3B">
        <w:rPr>
          <w:rFonts w:eastAsia="Times New Roman" w:cs="Trebuchet MS"/>
          <w:sz w:val="24"/>
          <w:szCs w:val="24"/>
          <w:lang w:eastAsia="en-GB"/>
        </w:rPr>
        <w:t>the participants status when they leave the project</w:t>
      </w:r>
      <w:r w:rsidRPr="00ED3F3B">
        <w:rPr>
          <w:rFonts w:eastAsia="Times New Roman" w:cs="Trebuchet MS"/>
          <w:sz w:val="24"/>
          <w:szCs w:val="24"/>
          <w:lang w:eastAsia="en-GB"/>
        </w:rPr>
        <w:br/>
      </w:r>
    </w:p>
    <w:p w:rsidR="00ED3F3B" w:rsidRDefault="00ED3F3B" w:rsidP="00ED3F3B">
      <w:pPr>
        <w:spacing w:after="0" w:line="240" w:lineRule="auto"/>
        <w:rPr>
          <w:rFonts w:eastAsia="Times New Roman" w:cs="Trebuchet MS"/>
          <w:sz w:val="24"/>
          <w:szCs w:val="24"/>
          <w:lang w:eastAsia="en-GB"/>
        </w:rPr>
      </w:pPr>
      <w:r w:rsidRPr="00ED3F3B">
        <w:rPr>
          <w:rFonts w:eastAsia="Times New Roman" w:cs="Trebuchet MS"/>
          <w:sz w:val="24"/>
          <w:szCs w:val="24"/>
          <w:lang w:eastAsia="en-GB"/>
        </w:rPr>
        <w:t>The result must be recorded within 4 weeks of the participant leaving the project.</w:t>
      </w:r>
      <w:r w:rsidRPr="00ED3F3B">
        <w:rPr>
          <w:rFonts w:eastAsia="Times New Roman" w:cs="Trebuchet MS"/>
          <w:sz w:val="24"/>
          <w:szCs w:val="24"/>
          <w:lang w:eastAsia="en-GB"/>
        </w:rPr>
        <w:br/>
      </w:r>
      <w:r w:rsidRPr="00ED3F3B">
        <w:rPr>
          <w:rFonts w:eastAsia="Times New Roman" w:cs="Trebuchet MS"/>
          <w:sz w:val="24"/>
          <w:szCs w:val="24"/>
          <w:lang w:eastAsia="en-GB"/>
        </w:rPr>
        <w:br/>
        <w:t>Participants with an outcome of:</w:t>
      </w:r>
    </w:p>
    <w:p w:rsidR="00ED3F3B" w:rsidRDefault="00ED3F3B" w:rsidP="00ED3F3B">
      <w:pPr>
        <w:spacing w:after="0" w:line="240" w:lineRule="auto"/>
        <w:rPr>
          <w:rFonts w:eastAsia="Times New Roman" w:cs="Trebuchet MS"/>
          <w:sz w:val="24"/>
          <w:szCs w:val="24"/>
          <w:lang w:eastAsia="en-GB"/>
        </w:rPr>
      </w:pPr>
    </w:p>
    <w:p w:rsidR="00ED3F3B" w:rsidRPr="00ED3F3B" w:rsidRDefault="00ED3F3B" w:rsidP="00ED3F3B">
      <w:pPr>
        <w:pStyle w:val="ListParagraph"/>
        <w:numPr>
          <w:ilvl w:val="0"/>
          <w:numId w:val="2"/>
        </w:numPr>
        <w:spacing w:after="0" w:line="240" w:lineRule="auto"/>
        <w:ind w:left="357" w:hanging="357"/>
        <w:rPr>
          <w:rFonts w:eastAsia="Times New Roman" w:cs="Trebuchet MS"/>
          <w:sz w:val="24"/>
          <w:szCs w:val="24"/>
          <w:lang w:eastAsia="en-GB"/>
        </w:rPr>
      </w:pPr>
      <w:r w:rsidRPr="00ED3F3B">
        <w:rPr>
          <w:rFonts w:eastAsia="Times New Roman" w:cs="Trebuchet MS"/>
          <w:b/>
          <w:bCs/>
          <w:sz w:val="24"/>
          <w:szCs w:val="24"/>
          <w:lang w:eastAsia="en-GB"/>
        </w:rPr>
        <w:t>Unemployed</w:t>
      </w:r>
      <w:r w:rsidRPr="00ED3F3B">
        <w:rPr>
          <w:rFonts w:eastAsia="Times New Roman" w:cs="Trebuchet MS"/>
          <w:sz w:val="24"/>
          <w:szCs w:val="24"/>
          <w:lang w:eastAsia="en-GB"/>
        </w:rPr>
        <w:t xml:space="preserve"> </w:t>
      </w:r>
      <w:r w:rsidRPr="00ED3F3B">
        <w:rPr>
          <w:rFonts w:eastAsia="Times New Roman" w:cs="Trebuchet MS"/>
          <w:b/>
          <w:bCs/>
          <w:sz w:val="24"/>
          <w:szCs w:val="24"/>
          <w:lang w:eastAsia="en-GB"/>
        </w:rPr>
        <w:t>a</w:t>
      </w:r>
      <w:r w:rsidRPr="00ED3F3B">
        <w:rPr>
          <w:rFonts w:eastAsia="Times New Roman" w:cs="Trebuchet MS"/>
          <w:sz w:val="24"/>
          <w:szCs w:val="24"/>
          <w:lang w:eastAsia="en-GB"/>
        </w:rPr>
        <w:t>chieve a result if they move into employment or self-employment, on leaving (R1)</w:t>
      </w:r>
    </w:p>
    <w:p w:rsidR="00ED3F3B" w:rsidRPr="00ED3F3B" w:rsidRDefault="00ED3F3B" w:rsidP="00ED3F3B">
      <w:pPr>
        <w:pStyle w:val="ListParagraph"/>
        <w:numPr>
          <w:ilvl w:val="0"/>
          <w:numId w:val="2"/>
        </w:numPr>
        <w:spacing w:after="0" w:line="240" w:lineRule="auto"/>
        <w:ind w:left="357" w:hanging="357"/>
        <w:rPr>
          <w:rFonts w:eastAsia="Times New Roman" w:cs="Trebuchet MS"/>
          <w:sz w:val="24"/>
          <w:szCs w:val="24"/>
          <w:lang w:eastAsia="en-GB"/>
        </w:rPr>
      </w:pPr>
      <w:r w:rsidRPr="00ED3F3B">
        <w:rPr>
          <w:rFonts w:eastAsia="Times New Roman" w:cs="Trebuchet MS"/>
          <w:b/>
          <w:bCs/>
          <w:sz w:val="24"/>
          <w:szCs w:val="24"/>
          <w:lang w:eastAsia="en-GB"/>
        </w:rPr>
        <w:t>Inactive</w:t>
      </w:r>
      <w:r w:rsidRPr="00ED3F3B">
        <w:rPr>
          <w:rFonts w:eastAsia="Times New Roman" w:cs="Trebuchet MS"/>
          <w:sz w:val="24"/>
          <w:szCs w:val="24"/>
          <w:lang w:eastAsia="en-GB"/>
        </w:rPr>
        <w:t xml:space="preserve"> achieve a result if they move into employment, or job search on leaving (R2)</w:t>
      </w:r>
    </w:p>
    <w:p w:rsidR="00ED3F3B" w:rsidRPr="00ED3F3B" w:rsidRDefault="00ED3F3B" w:rsidP="00ED3F3B">
      <w:pPr>
        <w:pStyle w:val="ListParagraph"/>
        <w:numPr>
          <w:ilvl w:val="0"/>
          <w:numId w:val="2"/>
        </w:numPr>
        <w:spacing w:after="0" w:line="240" w:lineRule="auto"/>
        <w:ind w:left="357" w:hanging="357"/>
        <w:rPr>
          <w:rFonts w:eastAsia="Times New Roman" w:cs="Trebuchet MS"/>
          <w:sz w:val="24"/>
          <w:szCs w:val="24"/>
          <w:lang w:eastAsia="en-GB"/>
        </w:rPr>
      </w:pPr>
      <w:r w:rsidRPr="00ED3F3B">
        <w:rPr>
          <w:rFonts w:eastAsia="Times New Roman" w:cs="Trebuchet MS"/>
          <w:b/>
          <w:bCs/>
          <w:sz w:val="24"/>
          <w:szCs w:val="24"/>
          <w:lang w:eastAsia="en-GB"/>
        </w:rPr>
        <w:t>Unemployed or inactive</w:t>
      </w:r>
      <w:r w:rsidRPr="00ED3F3B">
        <w:rPr>
          <w:rFonts w:eastAsia="Times New Roman" w:cs="Trebuchet MS"/>
          <w:sz w:val="24"/>
          <w:szCs w:val="24"/>
          <w:lang w:eastAsia="en-GB"/>
        </w:rPr>
        <w:t xml:space="preserve"> achieve a result of they move into education or training on leaving (CR02)</w:t>
      </w:r>
    </w:p>
    <w:p w:rsidR="00ED3F3B" w:rsidRDefault="00ED3F3B" w:rsidP="00ED3F3B">
      <w:pPr>
        <w:spacing w:after="0" w:line="240" w:lineRule="auto"/>
        <w:rPr>
          <w:rFonts w:eastAsia="Times New Roman" w:cs="Trebuchet MS"/>
          <w:sz w:val="24"/>
          <w:szCs w:val="24"/>
          <w:lang w:eastAsia="en-GB"/>
        </w:rPr>
      </w:pPr>
      <w:r w:rsidRPr="00ED3F3B">
        <w:rPr>
          <w:rFonts w:eastAsia="Times New Roman" w:cs="Trebuchet MS"/>
          <w:sz w:val="24"/>
          <w:szCs w:val="24"/>
          <w:lang w:eastAsia="en-GB"/>
        </w:rPr>
        <w:br/>
        <w:t>In addition:</w:t>
      </w:r>
      <w:r w:rsidRPr="00ED3F3B">
        <w:rPr>
          <w:rFonts w:eastAsia="Times New Roman" w:cs="Trebuchet MS"/>
          <w:sz w:val="24"/>
          <w:szCs w:val="24"/>
          <w:lang w:eastAsia="en-GB"/>
        </w:rPr>
        <w:br/>
      </w:r>
    </w:p>
    <w:p w:rsidR="00ED3F3B" w:rsidRPr="00ED3F3B" w:rsidRDefault="00ED3F3B" w:rsidP="00ED3F3B">
      <w:pPr>
        <w:pStyle w:val="ListParagraph"/>
        <w:numPr>
          <w:ilvl w:val="0"/>
          <w:numId w:val="2"/>
        </w:numPr>
        <w:spacing w:after="0" w:line="240" w:lineRule="auto"/>
        <w:ind w:left="357" w:hanging="357"/>
        <w:rPr>
          <w:rFonts w:eastAsia="Times New Roman" w:cs="Trebuchet MS"/>
          <w:sz w:val="24"/>
          <w:szCs w:val="24"/>
          <w:lang w:eastAsia="en-GB"/>
        </w:rPr>
      </w:pPr>
      <w:r w:rsidRPr="00ED3F3B">
        <w:rPr>
          <w:rFonts w:eastAsia="Times New Roman" w:cs="Trebuchet MS"/>
          <w:b/>
          <w:bCs/>
          <w:sz w:val="24"/>
          <w:szCs w:val="24"/>
          <w:lang w:eastAsia="en-GB"/>
        </w:rPr>
        <w:t>COR 2/1 Participants</w:t>
      </w:r>
      <w:r w:rsidRPr="00ED3F3B">
        <w:rPr>
          <w:rFonts w:eastAsia="Times New Roman" w:cs="Trebuchet MS"/>
          <w:sz w:val="24"/>
          <w:szCs w:val="24"/>
          <w:lang w:eastAsia="en-GB"/>
        </w:rPr>
        <w:t xml:space="preserve"> who gain basic skills in literacy, ESOL or numeracy by the time of leaving achieve result (R3)</w:t>
      </w:r>
    </w:p>
    <w:p w:rsidR="00ED3F3B" w:rsidRPr="00ED3F3B" w:rsidRDefault="00ED3F3B" w:rsidP="00ED3F3B">
      <w:pPr>
        <w:pStyle w:val="ListParagraph"/>
        <w:numPr>
          <w:ilvl w:val="0"/>
          <w:numId w:val="2"/>
        </w:numPr>
        <w:spacing w:after="0" w:line="240" w:lineRule="auto"/>
        <w:ind w:left="357" w:hanging="357"/>
        <w:rPr>
          <w:rFonts w:eastAsia="Times New Roman" w:cs="Trebuchet MS"/>
          <w:sz w:val="24"/>
          <w:szCs w:val="24"/>
          <w:lang w:eastAsia="en-GB"/>
        </w:rPr>
      </w:pPr>
      <w:r w:rsidRPr="00ED3F3B">
        <w:rPr>
          <w:rFonts w:eastAsia="Times New Roman" w:cs="Trebuchet MS"/>
          <w:b/>
          <w:bCs/>
          <w:sz w:val="24"/>
          <w:szCs w:val="24"/>
          <w:lang w:eastAsia="en-GB"/>
        </w:rPr>
        <w:t xml:space="preserve">For projects based in London </w:t>
      </w:r>
      <w:r w:rsidRPr="00ED3F3B">
        <w:rPr>
          <w:rFonts w:eastAsia="Times New Roman" w:cs="Trebuchet MS"/>
          <w:sz w:val="24"/>
          <w:szCs w:val="24"/>
          <w:lang w:eastAsia="en-GB"/>
        </w:rPr>
        <w:t>a result is achieved if they are in sustained employment for 26 out of 32 weeks after entering employment or self-employment.</w:t>
      </w:r>
    </w:p>
    <w:p w:rsidR="00ED3F3B" w:rsidRPr="00ED3F3B" w:rsidRDefault="00ED3F3B" w:rsidP="00ED3F3B">
      <w:pPr>
        <w:spacing w:after="0" w:line="240" w:lineRule="auto"/>
        <w:rPr>
          <w:rFonts w:eastAsia="Times New Roman" w:cs="Trebuchet MS"/>
          <w:sz w:val="24"/>
          <w:szCs w:val="24"/>
          <w:lang w:eastAsia="en-GB"/>
        </w:rPr>
      </w:pPr>
      <w:r w:rsidRPr="00ED3F3B">
        <w:rPr>
          <w:rFonts w:eastAsia="Times New Roman" w:cs="Trebuchet MS"/>
          <w:sz w:val="24"/>
          <w:szCs w:val="24"/>
          <w:lang w:eastAsia="en-GB"/>
        </w:rPr>
        <w:br/>
        <w:t>A participant can achieve more than one result, for example a participant who was unemployed when they joined the project could achieve both results of into employment or move into education or training if at the point of exiting the project they are in employment and are in education or training.</w:t>
      </w:r>
      <w:r w:rsidRPr="00ED3F3B">
        <w:rPr>
          <w:rFonts w:eastAsia="Times New Roman" w:cs="Trebuchet MS"/>
          <w:sz w:val="24"/>
          <w:szCs w:val="24"/>
          <w:lang w:eastAsia="en-GB"/>
        </w:rPr>
        <w:br/>
      </w:r>
      <w:r w:rsidRPr="00ED3F3B">
        <w:rPr>
          <w:rFonts w:eastAsia="Times New Roman" w:cs="Trebuchet MS"/>
          <w:sz w:val="24"/>
          <w:szCs w:val="24"/>
          <w:lang w:eastAsia="en-GB"/>
        </w:rPr>
        <w:br/>
        <w:t xml:space="preserve">If a number of grant holders work with the same participant, results can only be claimed by the final grant holder and any results previously claimed by previous </w:t>
      </w:r>
      <w:r w:rsidRPr="00ED3F3B">
        <w:rPr>
          <w:rFonts w:eastAsia="Times New Roman" w:cs="Trebuchet MS"/>
          <w:sz w:val="24"/>
          <w:szCs w:val="24"/>
          <w:lang w:eastAsia="en-GB"/>
        </w:rPr>
        <w:lastRenderedPageBreak/>
        <w:t>grant holders supporting the participant will need to be deleted.  However, we will pay all grant holders for eligible actual costs incurred.</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color w:val="000000"/>
          <w:sz w:val="24"/>
          <w:szCs w:val="24"/>
          <w:lang w:eastAsia="en-GB"/>
        </w:rPr>
        <w:t>If a participant goes into training and the still supported by the project but then vanishes without competing an exit form can we claim this result?</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sz w:val="24"/>
          <w:szCs w:val="24"/>
          <w:lang w:eastAsia="en-GB"/>
        </w:rPr>
      </w:pPr>
      <w:r w:rsidRPr="00ED3F3B">
        <w:rPr>
          <w:rFonts w:eastAsia="Times New Roman" w:cs="Trebuchet MS"/>
          <w:sz w:val="24"/>
          <w:szCs w:val="24"/>
          <w:lang w:eastAsia="en-GB"/>
        </w:rPr>
        <w:t>No, a result cannot be claimed where an exit form does not exist and the exit form cannot be generated until the participant is no longer receiving support from the project.</w:t>
      </w:r>
      <w:r w:rsidRPr="00ED3F3B">
        <w:rPr>
          <w:rFonts w:eastAsia="Times New Roman" w:cs="Trebuchet MS"/>
          <w:sz w:val="24"/>
          <w:szCs w:val="24"/>
          <w:lang w:eastAsia="en-GB"/>
        </w:rPr>
        <w:br/>
      </w:r>
      <w:r w:rsidRPr="00ED3F3B">
        <w:rPr>
          <w:rFonts w:eastAsia="Times New Roman" w:cs="Trebuchet MS"/>
          <w:sz w:val="24"/>
          <w:szCs w:val="24"/>
          <w:lang w:eastAsia="en-GB"/>
        </w:rPr>
        <w:br/>
        <w:t>Please bear in mind your project outline when considering the point at which a participant exits your project.  For example if your project is to support people into training then exit will be appropriate at that point.</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bCs/>
          <w:color w:val="000000"/>
          <w:sz w:val="24"/>
          <w:szCs w:val="24"/>
          <w:lang w:eastAsia="en-GB"/>
        </w:rPr>
        <w:t>Certification of originals</w:t>
      </w:r>
      <w:r w:rsidRPr="00ED3F3B">
        <w:rPr>
          <w:rFonts w:eastAsia="Times New Roman" w:cs="Trebuchet MS"/>
          <w:b/>
          <w:color w:val="000000"/>
          <w:sz w:val="24"/>
          <w:szCs w:val="24"/>
          <w:lang w:eastAsia="en-GB"/>
        </w:rPr>
        <w:t xml:space="preserve"> – Can a certification be a typed name or does it have to be a scanned written signature? Does it have to include role in organisation?</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color w:val="000000"/>
          <w:sz w:val="24"/>
          <w:szCs w:val="24"/>
          <w:lang w:eastAsia="en-GB"/>
        </w:rPr>
      </w:pPr>
      <w:r w:rsidRPr="00ED3F3B">
        <w:rPr>
          <w:rFonts w:eastAsia="Times New Roman" w:cs="Trebuchet MS"/>
          <w:color w:val="000000"/>
          <w:sz w:val="24"/>
          <w:szCs w:val="24"/>
          <w:lang w:eastAsia="en-GB"/>
        </w:rPr>
        <w:t>The ESF Guidance on document retention, including electronic data states:</w:t>
      </w:r>
      <w:r w:rsidRPr="00ED3F3B">
        <w:rPr>
          <w:rFonts w:eastAsia="Times New Roman" w:cs="Trebuchet MS"/>
          <w:color w:val="000000"/>
          <w:sz w:val="24"/>
          <w:szCs w:val="24"/>
          <w:lang w:eastAsia="en-GB"/>
        </w:rPr>
        <w:br/>
      </w:r>
      <w:r w:rsidRPr="00ED3F3B">
        <w:rPr>
          <w:rFonts w:eastAsia="Times New Roman" w:cs="Trebuchet MS"/>
          <w:color w:val="000000"/>
          <w:sz w:val="24"/>
          <w:szCs w:val="24"/>
          <w:lang w:eastAsia="en-GB"/>
        </w:rPr>
        <w:br/>
        <w:t>Each version must be certified as conforming to the original document. A declaration by the grant recipient along the lines of the example below will satisfy this condition.</w:t>
      </w:r>
      <w:r w:rsidRPr="00ED3F3B">
        <w:rPr>
          <w:rFonts w:eastAsia="Times New Roman" w:cs="Trebuchet MS"/>
          <w:color w:val="000000"/>
          <w:sz w:val="24"/>
          <w:szCs w:val="24"/>
          <w:lang w:eastAsia="en-GB"/>
        </w:rPr>
        <w:br/>
      </w:r>
      <w:r w:rsidRPr="00ED3F3B">
        <w:rPr>
          <w:rFonts w:eastAsia="Times New Roman" w:cs="Trebuchet MS"/>
          <w:color w:val="000000"/>
          <w:sz w:val="24"/>
          <w:szCs w:val="24"/>
          <w:lang w:eastAsia="en-GB"/>
        </w:rPr>
        <w:br/>
        <w:t xml:space="preserve">     I certify that this is a true copy of the original document:</w:t>
      </w:r>
      <w:r w:rsidRPr="00ED3F3B">
        <w:rPr>
          <w:rFonts w:eastAsia="Times New Roman" w:cs="Trebuchet MS"/>
          <w:color w:val="000000"/>
          <w:sz w:val="24"/>
          <w:szCs w:val="24"/>
          <w:lang w:eastAsia="en-GB"/>
        </w:rPr>
        <w:br/>
        <w:t xml:space="preserve">     Signed</w:t>
      </w:r>
      <w:r w:rsidRPr="00ED3F3B">
        <w:rPr>
          <w:rFonts w:eastAsia="Times New Roman" w:cs="Trebuchet MS"/>
          <w:color w:val="000000"/>
          <w:sz w:val="24"/>
          <w:szCs w:val="24"/>
          <w:lang w:eastAsia="en-GB"/>
        </w:rPr>
        <w:br/>
        <w:t xml:space="preserve">     Date</w:t>
      </w:r>
      <w:r w:rsidRPr="00ED3F3B">
        <w:rPr>
          <w:rFonts w:eastAsia="Times New Roman" w:cs="Trebuchet MS"/>
          <w:color w:val="000000"/>
          <w:sz w:val="24"/>
          <w:szCs w:val="24"/>
          <w:lang w:eastAsia="en-GB"/>
        </w:rPr>
        <w:br/>
        <w:t xml:space="preserve">     Position in organisation</w:t>
      </w:r>
      <w:r w:rsidRPr="00ED3F3B">
        <w:rPr>
          <w:rFonts w:eastAsia="Times New Roman" w:cs="Trebuchet MS"/>
          <w:color w:val="000000"/>
          <w:sz w:val="24"/>
          <w:szCs w:val="24"/>
          <w:lang w:eastAsia="en-GB"/>
        </w:rPr>
        <w:br/>
        <w:t xml:space="preserve">     Name of organisation</w:t>
      </w:r>
      <w:r w:rsidRPr="00ED3F3B">
        <w:rPr>
          <w:rFonts w:eastAsia="Times New Roman" w:cs="Trebuchet MS"/>
          <w:color w:val="000000"/>
          <w:sz w:val="24"/>
          <w:szCs w:val="24"/>
          <w:lang w:eastAsia="en-GB"/>
        </w:rPr>
        <w:br/>
      </w:r>
      <w:r w:rsidRPr="00ED3F3B">
        <w:rPr>
          <w:rFonts w:eastAsia="Times New Roman" w:cs="Trebuchet MS"/>
          <w:color w:val="000000"/>
          <w:sz w:val="24"/>
          <w:szCs w:val="24"/>
          <w:lang w:eastAsia="en-GB"/>
        </w:rPr>
        <w:br/>
        <w:t>It also states this is the minimum requirement and grant recipients may add to this declaration or include additional procedures in line with their organisations policies should they wish to do so.</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color w:val="000000"/>
          <w:sz w:val="24"/>
          <w:szCs w:val="24"/>
          <w:lang w:eastAsia="en-GB"/>
        </w:rPr>
        <w:t>Is the risk-based exception more a self-declaration by the Grant Holder that they have been through a process of evidence acquisition than a self-declaration by the participant of their particular status?</w:t>
      </w:r>
    </w:p>
    <w:p w:rsidR="00ED3F3B" w:rsidRDefault="00ED3F3B" w:rsidP="00ED3F3B">
      <w:pPr>
        <w:spacing w:after="0"/>
        <w:rPr>
          <w:sz w:val="24"/>
          <w:szCs w:val="24"/>
        </w:rPr>
      </w:pPr>
    </w:p>
    <w:p w:rsidR="00ED3F3B" w:rsidRDefault="00ED3F3B" w:rsidP="00ED3F3B">
      <w:pPr>
        <w:spacing w:after="0" w:line="240" w:lineRule="auto"/>
        <w:rPr>
          <w:rFonts w:eastAsia="Times New Roman" w:cs="Trebuchet MS"/>
          <w:color w:val="000000"/>
          <w:sz w:val="24"/>
          <w:szCs w:val="24"/>
          <w:lang w:eastAsia="en-GB"/>
        </w:rPr>
      </w:pPr>
      <w:r w:rsidRPr="00ED3F3B">
        <w:rPr>
          <w:rFonts w:eastAsia="Times New Roman" w:cs="Trebuchet MS"/>
          <w:color w:val="000000"/>
          <w:sz w:val="24"/>
          <w:szCs w:val="24"/>
          <w:lang w:eastAsia="en-GB"/>
        </w:rPr>
        <w:t>It is a declaration by the grant holder outlining:</w:t>
      </w:r>
      <w:r w:rsidRPr="00ED3F3B">
        <w:rPr>
          <w:rFonts w:eastAsia="Times New Roman" w:cs="Trebuchet MS"/>
          <w:color w:val="000000"/>
          <w:sz w:val="24"/>
          <w:szCs w:val="24"/>
          <w:lang w:eastAsia="en-GB"/>
        </w:rPr>
        <w:br/>
      </w:r>
    </w:p>
    <w:p w:rsidR="00ED3F3B" w:rsidRPr="00ED3F3B" w:rsidRDefault="00ED3F3B" w:rsidP="00ED3F3B">
      <w:pPr>
        <w:pStyle w:val="ListParagraph"/>
        <w:numPr>
          <w:ilvl w:val="0"/>
          <w:numId w:val="2"/>
        </w:numPr>
        <w:spacing w:after="0" w:line="240" w:lineRule="auto"/>
        <w:ind w:left="357" w:hanging="357"/>
        <w:rPr>
          <w:rFonts w:eastAsia="Times New Roman" w:cs="Trebuchet MS"/>
          <w:color w:val="000000"/>
          <w:sz w:val="24"/>
          <w:szCs w:val="24"/>
          <w:lang w:eastAsia="en-GB"/>
        </w:rPr>
      </w:pPr>
      <w:r w:rsidRPr="00ED3F3B">
        <w:rPr>
          <w:rFonts w:eastAsia="Times New Roman" w:cs="Trebuchet MS"/>
          <w:color w:val="000000"/>
          <w:sz w:val="24"/>
          <w:szCs w:val="24"/>
          <w:lang w:eastAsia="en-GB"/>
        </w:rPr>
        <w:t>the reasons why the participant does not have any preferred or alternative evidence available ;</w:t>
      </w:r>
    </w:p>
    <w:p w:rsidR="00ED3F3B" w:rsidRPr="00ED3F3B" w:rsidRDefault="00ED3F3B" w:rsidP="00ED3F3B">
      <w:pPr>
        <w:pStyle w:val="ListParagraph"/>
        <w:numPr>
          <w:ilvl w:val="0"/>
          <w:numId w:val="2"/>
        </w:numPr>
        <w:spacing w:after="0" w:line="240" w:lineRule="auto"/>
        <w:ind w:left="357" w:hanging="357"/>
        <w:rPr>
          <w:rFonts w:eastAsia="Times New Roman" w:cs="Trebuchet MS"/>
          <w:color w:val="000000"/>
          <w:sz w:val="24"/>
          <w:szCs w:val="24"/>
          <w:lang w:eastAsia="en-GB"/>
        </w:rPr>
      </w:pPr>
      <w:r w:rsidRPr="00ED3F3B">
        <w:rPr>
          <w:rFonts w:eastAsia="Times New Roman" w:cs="Trebuchet MS"/>
          <w:color w:val="000000"/>
          <w:sz w:val="24"/>
          <w:szCs w:val="24"/>
          <w:lang w:eastAsia="en-GB"/>
        </w:rPr>
        <w:t>how the beneficiary/delivery partner has attempted to collect the required evidence; and</w:t>
      </w:r>
    </w:p>
    <w:p w:rsidR="00ED3F3B" w:rsidRPr="00ED3F3B" w:rsidRDefault="00ED3F3B" w:rsidP="00ED3F3B">
      <w:pPr>
        <w:pStyle w:val="ListParagraph"/>
        <w:numPr>
          <w:ilvl w:val="0"/>
          <w:numId w:val="2"/>
        </w:numPr>
        <w:spacing w:after="0" w:line="240" w:lineRule="auto"/>
        <w:ind w:left="357" w:hanging="357"/>
        <w:rPr>
          <w:rFonts w:eastAsia="Times New Roman" w:cs="Trebuchet MS"/>
          <w:color w:val="000000"/>
          <w:sz w:val="24"/>
          <w:szCs w:val="24"/>
          <w:lang w:eastAsia="en-GB"/>
        </w:rPr>
      </w:pPr>
      <w:r w:rsidRPr="00ED3F3B">
        <w:rPr>
          <w:rFonts w:eastAsia="Times New Roman" w:cs="Trebuchet MS"/>
          <w:color w:val="000000"/>
          <w:sz w:val="24"/>
          <w:szCs w:val="24"/>
          <w:lang w:eastAsia="en-GB"/>
        </w:rPr>
        <w:t>explaining how/why they are satisfied that the reasons provided by the participant are credible/plausible.</w:t>
      </w:r>
    </w:p>
    <w:p w:rsidR="00ED3F3B" w:rsidRPr="00ED3F3B" w:rsidRDefault="00ED3F3B" w:rsidP="00ED3F3B">
      <w:pPr>
        <w:spacing w:after="0" w:line="240" w:lineRule="auto"/>
        <w:rPr>
          <w:rFonts w:eastAsia="Times New Roman" w:cs="Trebuchet MS"/>
          <w:color w:val="000000"/>
          <w:sz w:val="24"/>
          <w:szCs w:val="24"/>
          <w:lang w:eastAsia="en-GB"/>
        </w:rPr>
      </w:pPr>
      <w:r w:rsidRPr="00ED3F3B">
        <w:rPr>
          <w:rFonts w:eastAsia="Times New Roman" w:cs="Trebuchet MS"/>
          <w:color w:val="000000"/>
          <w:sz w:val="24"/>
          <w:szCs w:val="24"/>
          <w:lang w:eastAsia="en-GB"/>
        </w:rPr>
        <w:br/>
        <w:t xml:space="preserve">Self-declaration forms part of the hierarchy of evidence to establish if the person is eligible to receive ESF funding. It is a risk-based exception that may only be used where attempts to obtain evidence higher in the hierarchy or evidence have </w:t>
      </w:r>
      <w:r w:rsidRPr="00ED3F3B">
        <w:rPr>
          <w:rFonts w:eastAsia="Times New Roman" w:cs="Trebuchet MS"/>
          <w:color w:val="000000"/>
          <w:sz w:val="24"/>
          <w:szCs w:val="24"/>
          <w:lang w:eastAsia="en-GB"/>
        </w:rPr>
        <w:lastRenderedPageBreak/>
        <w:t>proven unsuccessful and there is sufficient justification for the person to proceed to support.</w:t>
      </w:r>
      <w:r w:rsidRPr="00ED3F3B">
        <w:rPr>
          <w:rFonts w:eastAsia="Times New Roman" w:cs="Trebuchet MS"/>
          <w:color w:val="000000"/>
          <w:sz w:val="24"/>
          <w:szCs w:val="24"/>
          <w:lang w:eastAsia="en-GB"/>
        </w:rPr>
        <w:br/>
      </w:r>
      <w:r w:rsidRPr="00ED3F3B">
        <w:rPr>
          <w:rFonts w:eastAsia="Times New Roman" w:cs="Trebuchet MS"/>
          <w:color w:val="000000"/>
          <w:sz w:val="24"/>
          <w:szCs w:val="24"/>
          <w:lang w:eastAsia="en-GB"/>
        </w:rPr>
        <w:br/>
        <w:t>The risk-based exception must not be used ahead of the evidence higher in the hierarchy for reasons of convenience or simplicity.  The managing authority</w:t>
      </w:r>
      <w:r w:rsidRPr="00ED3F3B">
        <w:rPr>
          <w:rFonts w:eastAsia="Times New Roman" w:cs="Trebuchet MS"/>
          <w:color w:val="000000"/>
          <w:sz w:val="24"/>
          <w:szCs w:val="24"/>
          <w:lang w:eastAsia="en-GB"/>
        </w:rPr>
        <w:br/>
        <w:t>would not expect risk-based exceptions to be used as the predominant way of assessing eligibility and such cases are likely to attract particular audit scrutiny.</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color w:val="000000"/>
          <w:sz w:val="24"/>
          <w:szCs w:val="24"/>
          <w:lang w:eastAsia="en-GB"/>
        </w:rPr>
        <w:t>At what point is risk-based exception (self-declaration) acceptable to evidence participant eligibility, for example where a participant states they do not have an award letter from DWP to evidence receipt of benefit?</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color w:val="000000"/>
          <w:sz w:val="24"/>
          <w:szCs w:val="24"/>
          <w:lang w:eastAsia="en-GB"/>
        </w:rPr>
      </w:pPr>
      <w:r w:rsidRPr="00ED3F3B">
        <w:rPr>
          <w:rFonts w:eastAsia="Times New Roman" w:cs="Trebuchet MS"/>
          <w:color w:val="000000"/>
          <w:sz w:val="24"/>
          <w:szCs w:val="24"/>
          <w:lang w:eastAsia="en-GB"/>
        </w:rPr>
        <w:t>A risk-based exception should only be used where attempts to collect evidence of eligibility higher in the hierarchy have been unsuccessful and you are satisfied, despite the absence of any evidence, the participant qualifies for support.</w:t>
      </w:r>
      <w:r w:rsidRPr="00ED3F3B">
        <w:rPr>
          <w:rFonts w:eastAsia="Times New Roman" w:cs="Trebuchet MS"/>
          <w:color w:val="000000"/>
          <w:sz w:val="24"/>
          <w:szCs w:val="24"/>
          <w:lang w:eastAsia="en-GB"/>
        </w:rPr>
        <w:br/>
      </w:r>
      <w:r w:rsidRPr="00ED3F3B">
        <w:rPr>
          <w:rFonts w:eastAsia="Times New Roman" w:cs="Trebuchet MS"/>
          <w:color w:val="000000"/>
          <w:sz w:val="24"/>
          <w:szCs w:val="24"/>
          <w:lang w:eastAsia="en-GB"/>
        </w:rPr>
        <w:br/>
        <w:t>In the case of evidence of benefits, you would need to be able to justify why the participant cannot provide evidence of receipt of the benefit.</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color w:val="000000"/>
          <w:sz w:val="24"/>
          <w:szCs w:val="24"/>
          <w:lang w:eastAsia="en-GB"/>
        </w:rPr>
        <w:t xml:space="preserve">Participant exit – How to define ‘the exit point’ when a participant leaves a project and how to count it? </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color w:val="000000"/>
          <w:sz w:val="24"/>
          <w:szCs w:val="24"/>
          <w:lang w:eastAsia="en-GB"/>
        </w:rPr>
      </w:pPr>
      <w:r w:rsidRPr="00ED3F3B">
        <w:rPr>
          <w:rFonts w:eastAsia="Times New Roman" w:cs="Trebuchet MS"/>
          <w:color w:val="000000"/>
          <w:sz w:val="24"/>
          <w:szCs w:val="24"/>
          <w:lang w:eastAsia="en-GB"/>
        </w:rPr>
        <w:t>The exit point is the point at which the participant has finished their last activity on the project.  For example, they've reached the end of their training and have no further activities planned with the project.  Whether they achieve a result on exit is dependant of both their status on entry to and exit from the project.  The result must be recorded within 4 weeks of the participant leaving the project. Please refer to the BBO guide for more detailed information.</w:t>
      </w:r>
      <w:r w:rsidRPr="00ED3F3B">
        <w:rPr>
          <w:rFonts w:eastAsia="Times New Roman" w:cs="Trebuchet MS"/>
          <w:color w:val="000000"/>
          <w:sz w:val="24"/>
          <w:szCs w:val="24"/>
          <w:lang w:eastAsia="en-GB"/>
        </w:rPr>
        <w:br/>
      </w:r>
      <w:r w:rsidRPr="00ED3F3B">
        <w:rPr>
          <w:rFonts w:eastAsia="Times New Roman" w:cs="Trebuchet MS"/>
          <w:color w:val="000000"/>
          <w:sz w:val="24"/>
          <w:szCs w:val="24"/>
          <w:lang w:eastAsia="en-GB"/>
        </w:rPr>
        <w:br/>
        <w:t xml:space="preserve">Please also remember that once a participant has exited the project, costs relating to them are no longer eligible. You will bear this in mind when considering the appropriate point for participants.  </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color w:val="000000"/>
          <w:sz w:val="24"/>
          <w:szCs w:val="24"/>
          <w:lang w:eastAsia="en-GB"/>
        </w:rPr>
        <w:t>The ESF data evidence requirement guidance appears to suggest that to record a result of 'Into job-search' the person would have to be registered as unemployed which would mean signing up for JSA for example, there is no mention of a CV and a list of jobs applied for (listed in your Participants guidance), being sufficient evidence of claiming a job search. Is the Lottery sure this would be sufficient?</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sz w:val="24"/>
          <w:szCs w:val="24"/>
          <w:lang w:eastAsia="en-GB"/>
        </w:rPr>
      </w:pPr>
      <w:r w:rsidRPr="00ED3F3B">
        <w:rPr>
          <w:rFonts w:eastAsia="Times New Roman" w:cs="Trebuchet MS"/>
          <w:sz w:val="24"/>
          <w:szCs w:val="24"/>
          <w:lang w:eastAsia="en-GB"/>
        </w:rPr>
        <w:t>Whilst being registered as unemployed would be preferred evidence it is acceptable to provide a CV and jobs applied for as evidence of job search.</w:t>
      </w:r>
    </w:p>
    <w:p w:rsidR="00ED3F3B" w:rsidRDefault="00ED3F3B" w:rsidP="00ED3F3B">
      <w:pPr>
        <w:spacing w:after="0"/>
        <w:rPr>
          <w:sz w:val="24"/>
          <w:szCs w:val="24"/>
        </w:rPr>
      </w:pPr>
    </w:p>
    <w:p w:rsidR="00ED3F3B" w:rsidRDefault="00ED3F3B">
      <w:pPr>
        <w:rPr>
          <w:rFonts w:eastAsia="Times New Roman" w:cs="Trebuchet MS"/>
          <w:b/>
          <w:color w:val="000000"/>
          <w:sz w:val="24"/>
          <w:szCs w:val="24"/>
          <w:lang w:eastAsia="en-GB"/>
        </w:rPr>
      </w:pPr>
      <w:r>
        <w:rPr>
          <w:rFonts w:eastAsia="Times New Roman" w:cs="Trebuchet MS"/>
          <w:b/>
          <w:color w:val="000000"/>
          <w:sz w:val="24"/>
          <w:szCs w:val="24"/>
          <w:lang w:eastAsia="en-GB"/>
        </w:rPr>
        <w:br w:type="page"/>
      </w: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color w:val="000000"/>
          <w:sz w:val="24"/>
          <w:szCs w:val="24"/>
          <w:lang w:eastAsia="en-GB"/>
        </w:rPr>
        <w:lastRenderedPageBreak/>
        <w:t>How does ‘in work support’ function if you have to exit a participant to record their employment result?</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color w:val="000000"/>
          <w:sz w:val="24"/>
          <w:szCs w:val="24"/>
          <w:lang w:eastAsia="en-GB"/>
        </w:rPr>
      </w:pPr>
      <w:r w:rsidRPr="00ED3F3B">
        <w:rPr>
          <w:rFonts w:eastAsia="Times New Roman" w:cs="Trebuchet MS"/>
          <w:color w:val="000000"/>
          <w:sz w:val="24"/>
          <w:szCs w:val="24"/>
          <w:lang w:eastAsia="en-GB"/>
        </w:rPr>
        <w:t>Results cannot be claimed until the participant leaves the project. Whilst they remain with the project, the result cannot be recorded. Once activity is complete and they leave the project you can claim the result, based on their status at that point or within 4 weeks of leaving.</w:t>
      </w:r>
      <w:r w:rsidRPr="00ED3F3B">
        <w:rPr>
          <w:rFonts w:eastAsia="Times New Roman" w:cs="Trebuchet MS"/>
          <w:color w:val="000000"/>
          <w:sz w:val="24"/>
          <w:szCs w:val="24"/>
          <w:lang w:eastAsia="en-GB"/>
        </w:rPr>
        <w:br/>
      </w:r>
      <w:r w:rsidRPr="00ED3F3B">
        <w:rPr>
          <w:rFonts w:eastAsia="Times New Roman" w:cs="Trebuchet MS"/>
          <w:color w:val="000000"/>
          <w:sz w:val="24"/>
          <w:szCs w:val="24"/>
          <w:lang w:eastAsia="en-GB"/>
        </w:rPr>
        <w:br/>
        <w:t>Please bear your project outline in mind when considering the exit point for a participant.  If your outline includes the requirement to provide 'in work support' you should not consider exiting them until the support has ended.</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color w:val="000000"/>
          <w:sz w:val="24"/>
          <w:szCs w:val="24"/>
          <w:lang w:eastAsia="en-GB"/>
        </w:rPr>
        <w:t>When you exit a participant with the result being entering job-search do you have to evidence anything done by the participant in the four weeks after they leave the project, or is evidence to jobs applied for, creation of CV etc. whilst still engaged enough?</w:t>
      </w:r>
    </w:p>
    <w:p w:rsidR="00ED3F3B" w:rsidRDefault="00ED3F3B" w:rsidP="00ED3F3B">
      <w:pPr>
        <w:spacing w:after="0"/>
        <w:rPr>
          <w:sz w:val="24"/>
          <w:szCs w:val="24"/>
        </w:rPr>
      </w:pPr>
    </w:p>
    <w:p w:rsidR="00ED3F3B" w:rsidRDefault="00582C7F" w:rsidP="00ED3F3B">
      <w:pPr>
        <w:spacing w:after="0"/>
        <w:rPr>
          <w:rFonts w:eastAsia="Times New Roman" w:cs="Trebuchet MS"/>
          <w:color w:val="000000"/>
          <w:sz w:val="24"/>
          <w:szCs w:val="24"/>
          <w:lang w:eastAsia="en-GB"/>
        </w:rPr>
      </w:pPr>
      <w:r w:rsidRPr="00582C7F">
        <w:rPr>
          <w:rFonts w:eastAsia="Times New Roman" w:cs="Trebuchet MS"/>
          <w:color w:val="000000"/>
          <w:sz w:val="24"/>
          <w:szCs w:val="24"/>
          <w:lang w:eastAsia="en-GB"/>
        </w:rPr>
        <w:t>Whilst evidence of job search, demonstrating progression in the 4 weeks after leaving the project, is set out in the ESF requirements, it will be useful  to collect evidence of job search activity during the project activities in order to support the evidence of change in status of the participant, from inactive to actively seeking work.</w:t>
      </w:r>
    </w:p>
    <w:p w:rsidR="00582C7F" w:rsidRDefault="00582C7F" w:rsidP="00ED3F3B">
      <w:pPr>
        <w:spacing w:after="0"/>
        <w:rPr>
          <w:sz w:val="24"/>
          <w:szCs w:val="24"/>
        </w:rPr>
      </w:pP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color w:val="000000"/>
          <w:sz w:val="24"/>
          <w:szCs w:val="24"/>
          <w:lang w:eastAsia="en-GB"/>
        </w:rPr>
        <w:t xml:space="preserve">Has the sample participant file documents been updated to reflect changes to guidance? </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sz w:val="24"/>
          <w:szCs w:val="24"/>
          <w:lang w:eastAsia="en-GB"/>
        </w:rPr>
      </w:pPr>
      <w:r w:rsidRPr="00ED3F3B">
        <w:rPr>
          <w:rFonts w:eastAsia="Times New Roman" w:cs="Trebuchet MS"/>
          <w:sz w:val="24"/>
          <w:szCs w:val="24"/>
          <w:lang w:eastAsia="en-GB"/>
        </w:rPr>
        <w:t>The sample participant file has not been updated to reflect changes to guidance and will be removed.</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color w:val="000000"/>
          <w:sz w:val="24"/>
          <w:szCs w:val="24"/>
          <w:lang w:eastAsia="en-GB"/>
        </w:rPr>
        <w:t>Is Universal Credit treated differently to the other benefits in terms of evidences as it isn’t indicative of unemployment or economically inactive?</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color w:val="000000"/>
          <w:sz w:val="24"/>
          <w:szCs w:val="24"/>
          <w:lang w:eastAsia="en-GB"/>
        </w:rPr>
      </w:pPr>
      <w:r w:rsidRPr="00ED3F3B">
        <w:rPr>
          <w:rFonts w:eastAsia="Times New Roman" w:cs="Trebuchet MS"/>
          <w:color w:val="000000"/>
          <w:sz w:val="24"/>
          <w:szCs w:val="24"/>
          <w:lang w:eastAsia="en-GB"/>
        </w:rPr>
        <w:t>Receipt of benefit may not in itself offer 100% definitive proof of status. However, the combination of a properly signed self-declaration (in line with guidance specifying criteria) and receipt of a benefit that could indicate the person’s employment status will provide a basis to start from. Universal Credit should not be relied upon as the only source of data and alternatives should also be investigated. The hierarchy of evidence should be followed and the use of a risk-based exception may be appropriate where evidence cannot be obtained.</w:t>
      </w:r>
    </w:p>
    <w:p w:rsidR="00ED3F3B" w:rsidRDefault="00ED3F3B" w:rsidP="00ED3F3B">
      <w:pPr>
        <w:spacing w:after="0"/>
        <w:rPr>
          <w:sz w:val="24"/>
          <w:szCs w:val="24"/>
        </w:rPr>
      </w:pPr>
    </w:p>
    <w:p w:rsidR="00ED3F3B" w:rsidRPr="00ED3F3B" w:rsidRDefault="00ED3F3B" w:rsidP="00ED3F3B">
      <w:pPr>
        <w:spacing w:after="240" w:line="240" w:lineRule="auto"/>
        <w:rPr>
          <w:rFonts w:eastAsia="Times New Roman" w:cs="Trebuchet MS"/>
          <w:b/>
          <w:color w:val="000000"/>
          <w:sz w:val="24"/>
          <w:szCs w:val="24"/>
          <w:lang w:eastAsia="en-GB"/>
        </w:rPr>
      </w:pPr>
      <w:r w:rsidRPr="00ED3F3B">
        <w:rPr>
          <w:rFonts w:eastAsia="Times New Roman" w:cs="Trebuchet MS"/>
          <w:b/>
          <w:color w:val="000000"/>
          <w:sz w:val="24"/>
          <w:szCs w:val="24"/>
          <w:lang w:eastAsia="en-GB"/>
        </w:rPr>
        <w:t>Is Annex I (Participant progress form) needed if we have our own progress report?</w:t>
      </w:r>
    </w:p>
    <w:p w:rsidR="00ED3F3B" w:rsidRPr="00ED3F3B" w:rsidRDefault="00ED3F3B" w:rsidP="00ED3F3B">
      <w:pPr>
        <w:spacing w:after="0" w:line="240" w:lineRule="auto"/>
        <w:rPr>
          <w:rFonts w:eastAsia="Times New Roman" w:cs="Trebuchet MS"/>
          <w:color w:val="000000"/>
          <w:sz w:val="24"/>
          <w:szCs w:val="24"/>
          <w:lang w:eastAsia="en-GB"/>
        </w:rPr>
      </w:pPr>
      <w:r w:rsidRPr="00ED3F3B">
        <w:rPr>
          <w:rFonts w:eastAsia="Times New Roman" w:cs="Trebuchet MS"/>
          <w:color w:val="000000"/>
          <w:sz w:val="24"/>
          <w:szCs w:val="24"/>
          <w:lang w:eastAsia="en-GB"/>
        </w:rPr>
        <w:t>No you can use your own progress report.</w:t>
      </w:r>
    </w:p>
    <w:p w:rsidR="00ED3F3B" w:rsidRDefault="00ED3F3B" w:rsidP="00ED3F3B">
      <w:pPr>
        <w:spacing w:after="0"/>
        <w:rPr>
          <w:sz w:val="24"/>
          <w:szCs w:val="24"/>
        </w:rPr>
      </w:pPr>
    </w:p>
    <w:p w:rsidR="00ED3F3B" w:rsidRDefault="00ED3F3B">
      <w:pPr>
        <w:rPr>
          <w:rFonts w:eastAsia="Times New Roman" w:cs="Trebuchet MS"/>
          <w:b/>
          <w:color w:val="000000"/>
          <w:sz w:val="24"/>
          <w:szCs w:val="24"/>
          <w:lang w:eastAsia="en-GB"/>
        </w:rPr>
      </w:pPr>
      <w:r>
        <w:rPr>
          <w:rFonts w:eastAsia="Times New Roman" w:cs="Trebuchet MS"/>
          <w:b/>
          <w:color w:val="000000"/>
          <w:sz w:val="24"/>
          <w:szCs w:val="24"/>
          <w:lang w:eastAsia="en-GB"/>
        </w:rPr>
        <w:br w:type="page"/>
      </w: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color w:val="000000"/>
          <w:sz w:val="24"/>
          <w:szCs w:val="24"/>
          <w:lang w:eastAsia="en-GB"/>
        </w:rPr>
        <w:lastRenderedPageBreak/>
        <w:t>Can an out of date passport be used to prove participant eligibility?</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color w:val="000000"/>
          <w:sz w:val="24"/>
          <w:szCs w:val="24"/>
          <w:lang w:eastAsia="en-GB"/>
        </w:rPr>
      </w:pPr>
      <w:r w:rsidRPr="00ED3F3B">
        <w:rPr>
          <w:rFonts w:eastAsia="Times New Roman" w:cs="Trebuchet MS"/>
          <w:color w:val="000000"/>
          <w:sz w:val="24"/>
          <w:szCs w:val="24"/>
          <w:lang w:eastAsia="en-GB"/>
        </w:rPr>
        <w:t>If the out of date passport is either UK or EU then it can be accepted.  In all other cases the passport must be valid.</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color w:val="000000"/>
          <w:sz w:val="24"/>
          <w:szCs w:val="24"/>
          <w:lang w:eastAsia="en-GB"/>
        </w:rPr>
        <w:t>What advice would you give surrounding the changing needs of participants as they progress on the project and the impact on previous outcome?</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color w:val="000000"/>
          <w:sz w:val="24"/>
          <w:szCs w:val="24"/>
          <w:lang w:eastAsia="en-GB"/>
        </w:rPr>
      </w:pPr>
      <w:r w:rsidRPr="00ED3F3B">
        <w:rPr>
          <w:rFonts w:eastAsia="Times New Roman" w:cs="Trebuchet MS"/>
          <w:color w:val="000000"/>
          <w:sz w:val="24"/>
          <w:szCs w:val="24"/>
          <w:lang w:eastAsia="en-GB"/>
        </w:rPr>
        <w:t>It is expected that the needs of a participant may change throughout their journey on the project and it is recommended that you document all activity and assessment of needs undertaken.</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color w:val="000000"/>
          <w:sz w:val="24"/>
          <w:szCs w:val="24"/>
          <w:lang w:eastAsia="en-GB"/>
        </w:rPr>
        <w:t>Why is BBO different from other ESF programmes with regard to the level of documents required, is it a result of Big Lottery Fund involvement?</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color w:val="000000"/>
          <w:sz w:val="24"/>
          <w:szCs w:val="24"/>
          <w:lang w:eastAsia="en-GB"/>
        </w:rPr>
      </w:pPr>
      <w:r w:rsidRPr="00ED3F3B">
        <w:rPr>
          <w:rFonts w:eastAsia="Times New Roman" w:cs="Trebuchet MS"/>
          <w:color w:val="000000"/>
          <w:sz w:val="24"/>
          <w:szCs w:val="24"/>
          <w:lang w:eastAsia="en-GB"/>
        </w:rPr>
        <w:t>The programme is an actual cost programme, with the level of documentation required to prove both participant and cost eligibility outlined in European Social Fund guidance.</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color w:val="000000"/>
          <w:sz w:val="24"/>
          <w:szCs w:val="24"/>
          <w:lang w:eastAsia="en-GB"/>
        </w:rPr>
        <w:t>Why are Funding Officers providing conflicting information?</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sz w:val="24"/>
          <w:szCs w:val="24"/>
          <w:lang w:eastAsia="en-GB"/>
        </w:rPr>
      </w:pPr>
      <w:r w:rsidRPr="00ED3F3B">
        <w:rPr>
          <w:rFonts w:eastAsia="Times New Roman" w:cs="Trebuchet MS"/>
          <w:sz w:val="24"/>
          <w:szCs w:val="24"/>
          <w:lang w:eastAsia="en-GB"/>
        </w:rPr>
        <w:t>We provide information on a case by case basis with responses based on the context surrounding the specific circumstances provided by grant holders.</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color w:val="000000"/>
          <w:sz w:val="24"/>
          <w:szCs w:val="24"/>
          <w:lang w:eastAsia="en-GB"/>
        </w:rPr>
        <w:t>Why do we have to hold participant personal data and photographic evidence given the data protection risks associated with doing so?</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color w:val="000000"/>
          <w:sz w:val="24"/>
          <w:szCs w:val="24"/>
          <w:lang w:eastAsia="en-GB"/>
        </w:rPr>
      </w:pPr>
      <w:r w:rsidRPr="00ED3F3B">
        <w:rPr>
          <w:rFonts w:eastAsia="Times New Roman" w:cs="Trebuchet MS"/>
          <w:color w:val="000000"/>
          <w:sz w:val="24"/>
          <w:szCs w:val="24"/>
          <w:lang w:eastAsia="en-GB"/>
        </w:rPr>
        <w:t>ESF grant recipients are required to provide records to evidence that grant expenditure is eligible and projects can be subject to audit even after the project is completed, with retention of all documentation associated with the project required until 31 December 2026. If any of the any of the evidence that the Managing Authority or the European Commission requires is ineligible, missing or incomplete, we may be forced to reclaim some or even all of previous payments we've made.</w:t>
      </w:r>
      <w:r w:rsidRPr="00ED3F3B">
        <w:rPr>
          <w:rFonts w:eastAsia="Times New Roman" w:cs="Trebuchet MS"/>
          <w:color w:val="000000"/>
          <w:sz w:val="24"/>
          <w:szCs w:val="24"/>
          <w:lang w:eastAsia="en-GB"/>
        </w:rPr>
        <w:br/>
      </w:r>
      <w:r w:rsidRPr="00ED3F3B">
        <w:rPr>
          <w:rFonts w:eastAsia="Times New Roman" w:cs="Trebuchet MS"/>
          <w:color w:val="000000"/>
          <w:sz w:val="24"/>
          <w:szCs w:val="24"/>
          <w:lang w:eastAsia="en-GB"/>
        </w:rPr>
        <w:br/>
        <w:t>As a result, record retention is an important consideration in the development and delivery of a project, including ensuring that personal data held is secured appropriately, bearing in mind current data protection legislation.</w:t>
      </w:r>
      <w:r w:rsidRPr="00ED3F3B">
        <w:rPr>
          <w:rFonts w:eastAsia="Times New Roman" w:cs="Trebuchet MS"/>
          <w:color w:val="000000"/>
          <w:sz w:val="24"/>
          <w:szCs w:val="24"/>
          <w:lang w:eastAsia="en-GB"/>
        </w:rPr>
        <w:br/>
      </w:r>
      <w:r w:rsidRPr="00ED3F3B">
        <w:rPr>
          <w:rFonts w:eastAsia="Times New Roman" w:cs="Trebuchet MS"/>
          <w:color w:val="000000"/>
          <w:sz w:val="24"/>
          <w:szCs w:val="24"/>
          <w:lang w:eastAsia="en-GB"/>
        </w:rPr>
        <w:br/>
        <w:t>Further information regarding evidence and retention can be found in our BBO Guide.</w:t>
      </w:r>
    </w:p>
    <w:p w:rsidR="00ED3F3B" w:rsidRDefault="00ED3F3B" w:rsidP="00ED3F3B">
      <w:pPr>
        <w:spacing w:after="0"/>
        <w:rPr>
          <w:sz w:val="24"/>
          <w:szCs w:val="24"/>
        </w:rPr>
      </w:pPr>
    </w:p>
    <w:p w:rsidR="00ED3F3B" w:rsidRDefault="00ED3F3B">
      <w:pPr>
        <w:rPr>
          <w:rFonts w:eastAsia="Times New Roman" w:cs="Trebuchet MS"/>
          <w:b/>
          <w:color w:val="000000"/>
          <w:sz w:val="24"/>
          <w:szCs w:val="24"/>
          <w:lang w:eastAsia="en-GB"/>
        </w:rPr>
      </w:pPr>
      <w:r>
        <w:rPr>
          <w:rFonts w:eastAsia="Times New Roman" w:cs="Trebuchet MS"/>
          <w:b/>
          <w:color w:val="000000"/>
          <w:sz w:val="24"/>
          <w:szCs w:val="24"/>
          <w:lang w:eastAsia="en-GB"/>
        </w:rPr>
        <w:br w:type="page"/>
      </w: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color w:val="000000"/>
          <w:sz w:val="24"/>
          <w:szCs w:val="24"/>
          <w:lang w:eastAsia="en-GB"/>
        </w:rPr>
        <w:lastRenderedPageBreak/>
        <w:t>Is an offer of employment letter and start date sufficient to evidence a result of move into employment?</w:t>
      </w:r>
    </w:p>
    <w:p w:rsidR="00ED3F3B" w:rsidRDefault="00ED3F3B" w:rsidP="00ED3F3B">
      <w:pPr>
        <w:spacing w:after="0"/>
        <w:rPr>
          <w:sz w:val="24"/>
          <w:szCs w:val="24"/>
        </w:rPr>
      </w:pPr>
    </w:p>
    <w:p w:rsidR="00ED3F3B" w:rsidRDefault="00ED3F3B" w:rsidP="00ED3F3B">
      <w:pPr>
        <w:spacing w:after="0" w:line="240" w:lineRule="auto"/>
        <w:rPr>
          <w:rFonts w:eastAsia="Times New Roman" w:cs="Trebuchet MS"/>
          <w:color w:val="000000"/>
          <w:sz w:val="24"/>
          <w:szCs w:val="24"/>
          <w:lang w:eastAsia="en-GB"/>
        </w:rPr>
      </w:pPr>
      <w:r w:rsidRPr="00ED3F3B">
        <w:rPr>
          <w:rFonts w:eastAsia="Times New Roman" w:cs="Trebuchet MS"/>
          <w:color w:val="000000"/>
          <w:sz w:val="24"/>
          <w:szCs w:val="24"/>
          <w:lang w:eastAsia="en-GB"/>
        </w:rPr>
        <w:t>No. One item from the list below is required to evidence a result of move into employment:</w:t>
      </w:r>
      <w:r w:rsidRPr="00ED3F3B">
        <w:rPr>
          <w:rFonts w:eastAsia="Times New Roman" w:cs="Trebuchet MS"/>
          <w:color w:val="000000"/>
          <w:sz w:val="24"/>
          <w:szCs w:val="24"/>
          <w:lang w:eastAsia="en-GB"/>
        </w:rPr>
        <w:br/>
      </w:r>
    </w:p>
    <w:p w:rsidR="00ED3F3B" w:rsidRPr="00ED3F3B" w:rsidRDefault="00ED3F3B" w:rsidP="00ED3F3B">
      <w:pPr>
        <w:pStyle w:val="ListParagraph"/>
        <w:numPr>
          <w:ilvl w:val="0"/>
          <w:numId w:val="2"/>
        </w:numPr>
        <w:spacing w:after="0" w:line="240" w:lineRule="auto"/>
        <w:ind w:left="357" w:hanging="357"/>
        <w:rPr>
          <w:rFonts w:eastAsia="Times New Roman" w:cs="Trebuchet MS"/>
          <w:color w:val="000000"/>
          <w:sz w:val="24"/>
          <w:szCs w:val="24"/>
          <w:lang w:eastAsia="en-GB"/>
        </w:rPr>
      </w:pPr>
      <w:r w:rsidRPr="00ED3F3B">
        <w:rPr>
          <w:rFonts w:eastAsia="Times New Roman" w:cs="Trebuchet MS"/>
          <w:color w:val="000000"/>
          <w:sz w:val="24"/>
          <w:szCs w:val="24"/>
          <w:lang w:eastAsia="en-GB"/>
        </w:rPr>
        <w:t>A letter or document from the employer confirming that the participant has started their new job</w:t>
      </w:r>
    </w:p>
    <w:p w:rsidR="00ED3F3B" w:rsidRPr="00ED3F3B" w:rsidRDefault="00ED3F3B" w:rsidP="00ED3F3B">
      <w:pPr>
        <w:pStyle w:val="ListParagraph"/>
        <w:numPr>
          <w:ilvl w:val="0"/>
          <w:numId w:val="2"/>
        </w:numPr>
        <w:spacing w:after="0" w:line="240" w:lineRule="auto"/>
        <w:ind w:left="357" w:hanging="357"/>
        <w:rPr>
          <w:rFonts w:eastAsia="Times New Roman" w:cs="Trebuchet MS"/>
          <w:color w:val="000000"/>
          <w:sz w:val="24"/>
          <w:szCs w:val="24"/>
          <w:lang w:eastAsia="en-GB"/>
        </w:rPr>
      </w:pPr>
      <w:r w:rsidRPr="00ED3F3B">
        <w:rPr>
          <w:rFonts w:eastAsia="Times New Roman" w:cs="Trebuchet MS"/>
          <w:color w:val="000000"/>
          <w:sz w:val="24"/>
          <w:szCs w:val="24"/>
          <w:lang w:eastAsia="en-GB"/>
        </w:rPr>
        <w:t>a payslip</w:t>
      </w:r>
    </w:p>
    <w:p w:rsidR="00ED3F3B" w:rsidRPr="00ED3F3B" w:rsidRDefault="00ED3F3B" w:rsidP="00ED3F3B">
      <w:pPr>
        <w:pStyle w:val="ListParagraph"/>
        <w:numPr>
          <w:ilvl w:val="0"/>
          <w:numId w:val="2"/>
        </w:numPr>
        <w:spacing w:after="0" w:line="240" w:lineRule="auto"/>
        <w:ind w:left="357" w:hanging="357"/>
        <w:rPr>
          <w:rFonts w:eastAsia="Times New Roman" w:cs="Trebuchet MS"/>
          <w:color w:val="000000"/>
          <w:sz w:val="24"/>
          <w:szCs w:val="24"/>
          <w:lang w:eastAsia="en-GB"/>
        </w:rPr>
      </w:pPr>
      <w:r w:rsidRPr="00ED3F3B">
        <w:rPr>
          <w:rFonts w:eastAsia="Times New Roman" w:cs="Trebuchet MS"/>
          <w:color w:val="000000"/>
          <w:sz w:val="24"/>
          <w:szCs w:val="24"/>
          <w:lang w:eastAsia="en-GB"/>
        </w:rPr>
        <w:t>a signed contract of employment.</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color w:val="000000"/>
          <w:sz w:val="24"/>
          <w:szCs w:val="24"/>
          <w:lang w:eastAsia="en-GB"/>
        </w:rPr>
        <w:t>What evidence is required to evidence a result of move into education or training?</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color w:val="000000"/>
          <w:sz w:val="24"/>
          <w:szCs w:val="24"/>
          <w:lang w:eastAsia="en-GB"/>
        </w:rPr>
      </w:pPr>
      <w:r w:rsidRPr="00ED3F3B">
        <w:rPr>
          <w:rFonts w:eastAsia="Times New Roman" w:cs="Trebuchet MS"/>
          <w:color w:val="000000"/>
          <w:sz w:val="24"/>
          <w:szCs w:val="24"/>
          <w:lang w:eastAsia="en-GB"/>
        </w:rPr>
        <w:t>A letter or document from the school, college, university or learning provider demonstrating that the participant has formally registered and started the education or training.</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color w:val="000000"/>
          <w:sz w:val="24"/>
          <w:szCs w:val="24"/>
          <w:lang w:eastAsia="en-GB"/>
        </w:rPr>
        <w:t>How should we record results and outputs where a participant moves between BBO projects and how do we keep track of participants coming through more than one project?</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color w:val="000000"/>
          <w:sz w:val="24"/>
          <w:szCs w:val="24"/>
          <w:lang w:eastAsia="en-GB"/>
        </w:rPr>
      </w:pPr>
      <w:r w:rsidRPr="00ED3F3B">
        <w:rPr>
          <w:rFonts w:eastAsia="Times New Roman" w:cs="Trebuchet MS"/>
          <w:color w:val="000000"/>
          <w:sz w:val="24"/>
          <w:szCs w:val="24"/>
          <w:lang w:eastAsia="en-GB"/>
        </w:rPr>
        <w:t>Within a LEP area each participant must have only one participant record. Results are always measured from the starting status on first project engagement of the participant to the time they exit the last project.</w:t>
      </w:r>
      <w:r w:rsidRPr="00ED3F3B">
        <w:rPr>
          <w:rFonts w:eastAsia="Times New Roman" w:cs="Trebuchet MS"/>
          <w:color w:val="000000"/>
          <w:sz w:val="24"/>
          <w:szCs w:val="24"/>
          <w:lang w:eastAsia="en-GB"/>
        </w:rPr>
        <w:br/>
      </w:r>
      <w:r w:rsidRPr="00ED3F3B">
        <w:rPr>
          <w:rFonts w:eastAsia="Times New Roman" w:cs="Trebuchet MS"/>
          <w:color w:val="000000"/>
          <w:sz w:val="24"/>
          <w:szCs w:val="24"/>
          <w:lang w:eastAsia="en-GB"/>
        </w:rPr>
        <w:br/>
        <w:t>If the participant moves between projects or leaves and re-enters a project the start date and outcome status will remain the same as when the participant joined their first BBO funded project. The result from their participation in previous projects will be deleted and removed from the results count.</w:t>
      </w:r>
      <w:r w:rsidRPr="00ED3F3B">
        <w:rPr>
          <w:rFonts w:eastAsia="Times New Roman" w:cs="Trebuchet MS"/>
          <w:color w:val="000000"/>
          <w:sz w:val="24"/>
          <w:szCs w:val="24"/>
          <w:lang w:eastAsia="en-GB"/>
        </w:rPr>
        <w:br/>
      </w:r>
      <w:r w:rsidRPr="00ED3F3B">
        <w:rPr>
          <w:rFonts w:eastAsia="Times New Roman" w:cs="Trebuchet MS"/>
          <w:color w:val="000000"/>
          <w:sz w:val="24"/>
          <w:szCs w:val="24"/>
          <w:lang w:eastAsia="en-GB"/>
        </w:rPr>
        <w:br/>
        <w:t>As part of our verification processes we will identify duplicate participant records at LEP level and inform grant holders.  Grant holders will need to consider which project should claim the result and amend records accordingly.</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color w:val="000000"/>
          <w:sz w:val="24"/>
          <w:szCs w:val="24"/>
          <w:lang w:eastAsia="en-GB"/>
        </w:rPr>
        <w:t>In a project that delivers both short and, distinctly, long term interventions (differing participants) does the Fund give greater value to one or the other?</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color w:val="000000"/>
          <w:sz w:val="24"/>
          <w:szCs w:val="24"/>
          <w:lang w:eastAsia="en-GB"/>
        </w:rPr>
      </w:pPr>
      <w:r w:rsidRPr="00ED3F3B">
        <w:rPr>
          <w:rFonts w:eastAsia="Times New Roman" w:cs="Trebuchet MS"/>
          <w:color w:val="000000"/>
          <w:sz w:val="24"/>
          <w:szCs w:val="24"/>
          <w:lang w:eastAsia="en-GB"/>
        </w:rPr>
        <w:t>No, the interventions need to match the outline set, and to fit with the development plan.</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color w:val="000000"/>
          <w:sz w:val="24"/>
          <w:szCs w:val="24"/>
          <w:lang w:eastAsia="en-GB"/>
        </w:rPr>
        <w:t>Is the provision of items to participants, such as food parcels, assistance with moving costs, white goods for new homes acceptable?</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sz w:val="24"/>
          <w:szCs w:val="24"/>
          <w:lang w:eastAsia="en-GB"/>
        </w:rPr>
      </w:pPr>
      <w:r w:rsidRPr="00ED3F3B">
        <w:rPr>
          <w:rFonts w:eastAsia="Times New Roman" w:cs="Trebuchet MS"/>
          <w:sz w:val="24"/>
          <w:szCs w:val="24"/>
          <w:lang w:eastAsia="en-GB"/>
        </w:rPr>
        <w:t>Grant holders would need to be able to justify the provision of such items. Please discuss with your Funding Officer.</w:t>
      </w:r>
    </w:p>
    <w:p w:rsidR="00ED3F3B" w:rsidRDefault="00ED3F3B" w:rsidP="00ED3F3B">
      <w:pPr>
        <w:spacing w:after="0"/>
        <w:rPr>
          <w:sz w:val="24"/>
          <w:szCs w:val="24"/>
        </w:rPr>
      </w:pPr>
    </w:p>
    <w:p w:rsidR="00ED3F3B" w:rsidRDefault="00ED3F3B">
      <w:pPr>
        <w:rPr>
          <w:rFonts w:eastAsia="Times New Roman" w:cs="Trebuchet MS"/>
          <w:b/>
          <w:color w:val="000000"/>
          <w:sz w:val="24"/>
          <w:szCs w:val="24"/>
          <w:lang w:eastAsia="en-GB"/>
        </w:rPr>
      </w:pPr>
      <w:r>
        <w:rPr>
          <w:rFonts w:eastAsia="Times New Roman" w:cs="Trebuchet MS"/>
          <w:b/>
          <w:color w:val="000000"/>
          <w:sz w:val="24"/>
          <w:szCs w:val="24"/>
          <w:lang w:eastAsia="en-GB"/>
        </w:rPr>
        <w:br w:type="page"/>
      </w: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color w:val="000000"/>
          <w:sz w:val="24"/>
          <w:szCs w:val="24"/>
          <w:lang w:eastAsia="en-GB"/>
        </w:rPr>
        <w:lastRenderedPageBreak/>
        <w:t>How far can project partners push participants before they get disengaged?</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sz w:val="24"/>
          <w:szCs w:val="24"/>
          <w:lang w:eastAsia="en-GB"/>
        </w:rPr>
      </w:pPr>
      <w:r w:rsidRPr="00ED3F3B">
        <w:rPr>
          <w:rFonts w:eastAsia="Times New Roman" w:cs="Trebuchet MS"/>
          <w:sz w:val="24"/>
          <w:szCs w:val="24"/>
          <w:lang w:eastAsia="en-GB"/>
        </w:rPr>
        <w:t>Partners will need to use sensitivity and intelligence to get to know their participants, making judgements based on that knowledge.</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color w:val="000000"/>
          <w:sz w:val="24"/>
          <w:szCs w:val="24"/>
          <w:lang w:eastAsia="en-GB"/>
        </w:rPr>
        <w:t>Where can participants come from and, when in areas with multiple BBO projects, how to avoid becoming competitive rather than collaborative?</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sz w:val="24"/>
          <w:szCs w:val="24"/>
          <w:lang w:eastAsia="en-GB"/>
        </w:rPr>
      </w:pPr>
      <w:r w:rsidRPr="00ED3F3B">
        <w:rPr>
          <w:rFonts w:eastAsia="Times New Roman" w:cs="Trebuchet MS"/>
          <w:sz w:val="24"/>
          <w:szCs w:val="24"/>
          <w:lang w:eastAsia="en-GB"/>
        </w:rPr>
        <w:t xml:space="preserve">Please refer to your project outline, which details the participants you may engage with.  Where a number of projects exist in the same area they should work collaboratively to ensure the needs of participants are meet. </w:t>
      </w:r>
      <w:r w:rsidRPr="00ED3F3B">
        <w:rPr>
          <w:rFonts w:eastAsia="Times New Roman" w:cs="Trebuchet MS"/>
          <w:sz w:val="24"/>
          <w:szCs w:val="24"/>
          <w:lang w:eastAsia="en-GB"/>
        </w:rPr>
        <w:br/>
      </w:r>
      <w:r w:rsidRPr="00ED3F3B">
        <w:rPr>
          <w:rFonts w:eastAsia="Times New Roman" w:cs="Trebuchet MS"/>
          <w:sz w:val="24"/>
          <w:szCs w:val="24"/>
          <w:lang w:eastAsia="en-GB"/>
        </w:rPr>
        <w:br/>
        <w:t>Whilst a number of grant holders may work with the same participant, results can only be claimed by the grant holder exiting the participant last with results based on status at that point.   We will, however, pay all grant holders for eligible actual costs incurred.</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color w:val="000000"/>
          <w:sz w:val="24"/>
          <w:szCs w:val="24"/>
          <w:lang w:eastAsia="en-GB"/>
        </w:rPr>
        <w:t>Is it necessary to continually accumulate bodies of evidence for each activity that a participant takes part in and has been recorded on the action plan?</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sz w:val="24"/>
          <w:szCs w:val="24"/>
          <w:lang w:eastAsia="en-GB"/>
        </w:rPr>
      </w:pPr>
      <w:r w:rsidRPr="00ED3F3B">
        <w:rPr>
          <w:rFonts w:eastAsia="Times New Roman" w:cs="Trebuchet MS"/>
          <w:sz w:val="24"/>
          <w:szCs w:val="24"/>
          <w:lang w:eastAsia="en-GB"/>
        </w:rPr>
        <w:t>It is a requirement to retain evidence of activity undertaken by a participant to demonstrate progress made, such as attendance sheets, course notes, submitted work and certificates of completion.</w:t>
      </w:r>
    </w:p>
    <w:p w:rsidR="00ED3F3B" w:rsidRDefault="00ED3F3B" w:rsidP="00ED3F3B">
      <w:pPr>
        <w:spacing w:after="0"/>
        <w:rPr>
          <w:sz w:val="24"/>
          <w:szCs w:val="24"/>
        </w:rPr>
      </w:pPr>
    </w:p>
    <w:p w:rsidR="00ED3F3B" w:rsidRPr="00ED3F3B" w:rsidRDefault="00ED3F3B" w:rsidP="00ED3F3B">
      <w:pPr>
        <w:spacing w:after="0"/>
        <w:rPr>
          <w:b/>
          <w:color w:val="EC008C"/>
          <w:sz w:val="24"/>
          <w:szCs w:val="24"/>
        </w:rPr>
      </w:pPr>
      <w:r w:rsidRPr="00ED3F3B">
        <w:rPr>
          <w:b/>
          <w:color w:val="EC008C"/>
          <w:sz w:val="24"/>
          <w:szCs w:val="24"/>
        </w:rPr>
        <w:t>Finance</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color w:val="000000"/>
          <w:sz w:val="24"/>
          <w:szCs w:val="24"/>
          <w:lang w:eastAsia="en-GB"/>
        </w:rPr>
        <w:t xml:space="preserve">Why do you need both payroll and payslips for evidence of staff costs and why not just the payroll? </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color w:val="000000"/>
          <w:sz w:val="24"/>
          <w:szCs w:val="24"/>
          <w:lang w:eastAsia="en-GB"/>
        </w:rPr>
      </w:pPr>
      <w:r w:rsidRPr="00ED3F3B">
        <w:rPr>
          <w:rFonts w:eastAsia="Times New Roman" w:cs="Trebuchet MS"/>
          <w:color w:val="000000"/>
          <w:sz w:val="24"/>
          <w:szCs w:val="24"/>
          <w:lang w:eastAsia="en-GB"/>
        </w:rPr>
        <w:t>Payslips are needed to evidence amounts paid to the staff member including pay, NI, pension contributions and any taxable incentives linked to pay. Payroll information is needed to form the audit trail to evidence defrayal, in conjunction with the organisation bank statements.</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color w:val="000000"/>
          <w:sz w:val="24"/>
          <w:szCs w:val="24"/>
          <w:lang w:eastAsia="en-GB"/>
        </w:rPr>
        <w:t>Which specific information do you need to prove defrayal? Can we have that determined rather than asking for various ‘documents’?</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color w:val="000000"/>
          <w:sz w:val="24"/>
          <w:szCs w:val="24"/>
          <w:lang w:eastAsia="en-GB"/>
        </w:rPr>
      </w:pPr>
      <w:r w:rsidRPr="00ED3F3B">
        <w:rPr>
          <w:rFonts w:eastAsia="Times New Roman" w:cs="Trebuchet MS"/>
          <w:color w:val="000000"/>
          <w:sz w:val="24"/>
          <w:szCs w:val="24"/>
          <w:lang w:eastAsia="en-GB"/>
        </w:rPr>
        <w:t>Section 8: Costs and expenditure of the BBO Guide details the evidence you need to retain to evidence costs claimed.</w:t>
      </w:r>
      <w:r w:rsidRPr="00ED3F3B">
        <w:rPr>
          <w:rFonts w:eastAsia="Times New Roman" w:cs="Trebuchet MS"/>
          <w:color w:val="000000"/>
          <w:sz w:val="24"/>
          <w:szCs w:val="24"/>
          <w:lang w:eastAsia="en-GB"/>
        </w:rPr>
        <w:br/>
      </w:r>
      <w:r w:rsidRPr="00ED3F3B">
        <w:rPr>
          <w:rFonts w:eastAsia="Times New Roman" w:cs="Trebuchet MS"/>
          <w:color w:val="000000"/>
          <w:sz w:val="24"/>
          <w:szCs w:val="24"/>
          <w:lang w:eastAsia="en-GB"/>
        </w:rPr>
        <w:br/>
        <w:t>To evidence defrayal of costs we will always need copies of organisation bank accounts. We may also need additional documents to evidence the audit trail from the document evidencing the cost of the specific item to the payment on the bank statement showing defrayal. For example, for a direct staff cost we will also need payslips and payroll information to show the audit trail from the payslip through to the payment shown on the bank statement (which in most cases will be a total payment to all employees).</w:t>
      </w:r>
      <w:r w:rsidRPr="00ED3F3B">
        <w:rPr>
          <w:rFonts w:eastAsia="Times New Roman" w:cs="Trebuchet MS"/>
          <w:color w:val="000000"/>
          <w:sz w:val="24"/>
          <w:szCs w:val="24"/>
          <w:lang w:eastAsia="en-GB"/>
        </w:rPr>
        <w:br/>
      </w:r>
      <w:r w:rsidRPr="00ED3F3B">
        <w:rPr>
          <w:rFonts w:eastAsia="Times New Roman" w:cs="Trebuchet MS"/>
          <w:color w:val="000000"/>
          <w:sz w:val="24"/>
          <w:szCs w:val="24"/>
          <w:lang w:eastAsia="en-GB"/>
        </w:rPr>
        <w:br/>
        <w:t xml:space="preserve">As the audit trail to the bank statement, and documents needed to evidence it, </w:t>
      </w:r>
      <w:r w:rsidRPr="00ED3F3B">
        <w:rPr>
          <w:rFonts w:eastAsia="Times New Roman" w:cs="Trebuchet MS"/>
          <w:color w:val="000000"/>
          <w:sz w:val="24"/>
          <w:szCs w:val="24"/>
          <w:lang w:eastAsia="en-GB"/>
        </w:rPr>
        <w:lastRenderedPageBreak/>
        <w:t>may differ across grant holders it is not possible to provide a definitive list of documents needed. If you have any questions about the documents required in your circumstance, please discuss with your Funding Officer.</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color w:val="000000"/>
          <w:sz w:val="24"/>
          <w:szCs w:val="24"/>
          <w:lang w:eastAsia="en-GB"/>
        </w:rPr>
        <w:t>What are you looking for to evidence defrayal?</w:t>
      </w:r>
    </w:p>
    <w:p w:rsidR="00ED3F3B" w:rsidRDefault="00ED3F3B" w:rsidP="00ED3F3B">
      <w:pPr>
        <w:spacing w:after="0"/>
        <w:rPr>
          <w:sz w:val="24"/>
          <w:szCs w:val="24"/>
        </w:rPr>
      </w:pPr>
    </w:p>
    <w:p w:rsidR="00E92248" w:rsidRDefault="00ED3F3B" w:rsidP="00ED3F3B">
      <w:pPr>
        <w:spacing w:after="0" w:line="240" w:lineRule="auto"/>
        <w:rPr>
          <w:rFonts w:eastAsia="Times New Roman" w:cs="Trebuchet MS"/>
          <w:color w:val="000000"/>
          <w:sz w:val="24"/>
          <w:szCs w:val="24"/>
          <w:lang w:eastAsia="en-GB"/>
        </w:rPr>
      </w:pPr>
      <w:r w:rsidRPr="00ED3F3B">
        <w:rPr>
          <w:rFonts w:eastAsia="Times New Roman" w:cs="Trebuchet MS"/>
          <w:color w:val="000000"/>
          <w:sz w:val="24"/>
          <w:szCs w:val="24"/>
          <w:lang w:eastAsia="en-GB"/>
        </w:rPr>
        <w:t>We always require copies of organisational bank statements to evidence defrayal. We also you to provide:</w:t>
      </w:r>
    </w:p>
    <w:p w:rsidR="00E92248" w:rsidRDefault="00E92248" w:rsidP="00ED3F3B">
      <w:pPr>
        <w:spacing w:after="0" w:line="240" w:lineRule="auto"/>
        <w:rPr>
          <w:rFonts w:eastAsia="Times New Roman" w:cs="Trebuchet MS"/>
          <w:color w:val="000000"/>
          <w:sz w:val="24"/>
          <w:szCs w:val="24"/>
          <w:lang w:eastAsia="en-GB"/>
        </w:rPr>
      </w:pPr>
    </w:p>
    <w:p w:rsidR="00E92248" w:rsidRPr="00E92248" w:rsidRDefault="00ED3F3B" w:rsidP="00E92248">
      <w:pPr>
        <w:pStyle w:val="ListParagraph"/>
        <w:numPr>
          <w:ilvl w:val="0"/>
          <w:numId w:val="2"/>
        </w:numPr>
        <w:spacing w:after="0" w:line="240" w:lineRule="auto"/>
        <w:ind w:left="357" w:hanging="357"/>
        <w:rPr>
          <w:rFonts w:eastAsia="Times New Roman" w:cs="Trebuchet MS"/>
          <w:color w:val="000000"/>
          <w:sz w:val="24"/>
          <w:szCs w:val="24"/>
          <w:lang w:eastAsia="en-GB"/>
        </w:rPr>
      </w:pPr>
      <w:r w:rsidRPr="00E92248">
        <w:rPr>
          <w:rFonts w:eastAsia="Times New Roman" w:cs="Trebuchet MS"/>
          <w:color w:val="000000"/>
          <w:sz w:val="24"/>
          <w:szCs w:val="24"/>
          <w:lang w:eastAsia="en-GB"/>
        </w:rPr>
        <w:t>other supporting documents relating to the expenditure type - see BBO Guide, Section 8: Costs and expenditure; and</w:t>
      </w:r>
    </w:p>
    <w:p w:rsidR="00ED3F3B" w:rsidRPr="00E92248" w:rsidRDefault="00ED3F3B" w:rsidP="00E92248">
      <w:pPr>
        <w:pStyle w:val="ListParagraph"/>
        <w:numPr>
          <w:ilvl w:val="0"/>
          <w:numId w:val="2"/>
        </w:numPr>
        <w:spacing w:after="0" w:line="240" w:lineRule="auto"/>
        <w:ind w:left="357" w:hanging="357"/>
        <w:rPr>
          <w:rFonts w:eastAsia="Times New Roman" w:cs="Trebuchet MS"/>
          <w:color w:val="000000"/>
          <w:sz w:val="24"/>
          <w:szCs w:val="24"/>
          <w:lang w:eastAsia="en-GB"/>
        </w:rPr>
      </w:pPr>
      <w:r w:rsidRPr="00E92248">
        <w:rPr>
          <w:rFonts w:eastAsia="Times New Roman" w:cs="Trebuchet MS"/>
          <w:color w:val="000000"/>
          <w:sz w:val="24"/>
          <w:szCs w:val="24"/>
          <w:lang w:eastAsia="en-GB"/>
        </w:rPr>
        <w:t>where the bank statement shows the defrayal of an amount greater that the actual cost claimed (e.g. total organisation payroll payment) we would also need to see supporting documentation to show the audit trail for the actual cost to that greater payment made.</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color w:val="000000"/>
          <w:sz w:val="24"/>
          <w:szCs w:val="24"/>
          <w:lang w:eastAsia="en-GB"/>
        </w:rPr>
        <w:t>We understand that additional evidence that links salary cost defrayed globally at the organisation level back to the individual level is required.</w:t>
      </w:r>
      <w:r w:rsidRPr="00ED3F3B">
        <w:rPr>
          <w:rFonts w:eastAsia="Times New Roman" w:cs="Trebuchet MS"/>
          <w:b/>
          <w:color w:val="000000"/>
          <w:sz w:val="24"/>
          <w:szCs w:val="24"/>
          <w:lang w:eastAsia="en-GB"/>
        </w:rPr>
        <w:br/>
        <w:t>We have large numbers of employees on the payroll. It is therefore impractical to print a full BACs report with redaction of non-project information. Our Legal team have expressed concerns over data protection even with redaction.  We can provide the summary page which notes total number of employees and total salary cost paid globally. This would match the amount leaving the bank account. Please confirm if this is acceptable?</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color w:val="000000"/>
          <w:sz w:val="24"/>
          <w:szCs w:val="24"/>
          <w:lang w:eastAsia="en-GB"/>
        </w:rPr>
      </w:pPr>
      <w:r w:rsidRPr="00ED3F3B">
        <w:rPr>
          <w:rFonts w:eastAsia="Times New Roman" w:cs="Trebuchet MS"/>
          <w:color w:val="000000"/>
          <w:sz w:val="24"/>
          <w:szCs w:val="24"/>
          <w:lang w:eastAsia="en-GB"/>
        </w:rPr>
        <w:t>To evidence the audit trail from the individuals payslip to the global organisation salary cost defrayed on the bank statement we would need to see an excerpt from your BACS statement / payroll system for all staff working on the project, which must include their names. A summary only listing the number of staff in the global payroll run and the amount paid globally would not be sufficient to evidence the audit trail.</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color w:val="000000"/>
          <w:sz w:val="24"/>
          <w:szCs w:val="24"/>
          <w:lang w:eastAsia="en-GB"/>
        </w:rPr>
        <w:t>Where we encounter difficulties obtaining evidence of defrayal from large partners such as the NHS or local councils, are there any approaches we can take?</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color w:val="000000"/>
          <w:sz w:val="24"/>
          <w:szCs w:val="24"/>
          <w:lang w:eastAsia="en-GB"/>
        </w:rPr>
      </w:pPr>
      <w:r w:rsidRPr="00ED3F3B">
        <w:rPr>
          <w:rFonts w:eastAsia="Times New Roman" w:cs="Trebuchet MS"/>
          <w:color w:val="000000"/>
          <w:sz w:val="24"/>
          <w:szCs w:val="24"/>
          <w:lang w:eastAsia="en-GB"/>
        </w:rPr>
        <w:t>Where you experience difficulties obtaining appropriate evidence of eligible costs and defrayal from a partner it is acceptable to mirror our payment arrangements and withhold or reduce future payments until information is provided.</w:t>
      </w:r>
      <w:r w:rsidRPr="00ED3F3B">
        <w:rPr>
          <w:rFonts w:eastAsia="Times New Roman" w:cs="Trebuchet MS"/>
          <w:color w:val="000000"/>
          <w:sz w:val="24"/>
          <w:szCs w:val="24"/>
          <w:lang w:eastAsia="en-GB"/>
        </w:rPr>
        <w:br/>
      </w:r>
      <w:r w:rsidRPr="00ED3F3B">
        <w:rPr>
          <w:rFonts w:eastAsia="Times New Roman" w:cs="Trebuchet MS"/>
          <w:color w:val="000000"/>
          <w:sz w:val="24"/>
          <w:szCs w:val="24"/>
          <w:lang w:eastAsia="en-GB"/>
        </w:rPr>
        <w:br/>
        <w:t>Please also make your Funding Officer aware of the situation, the Fund may be able to liaise with large statutory organisations to influence the provision of evidence to you.</w:t>
      </w:r>
    </w:p>
    <w:p w:rsidR="00ED3F3B" w:rsidRDefault="00ED3F3B" w:rsidP="00ED3F3B">
      <w:pPr>
        <w:spacing w:after="0"/>
        <w:rPr>
          <w:sz w:val="24"/>
          <w:szCs w:val="24"/>
        </w:rPr>
      </w:pPr>
    </w:p>
    <w:p w:rsidR="00E92248" w:rsidRDefault="00E92248">
      <w:pPr>
        <w:rPr>
          <w:rFonts w:eastAsia="Times New Roman" w:cs="Trebuchet MS"/>
          <w:b/>
          <w:bCs/>
          <w:color w:val="000000"/>
          <w:sz w:val="24"/>
          <w:szCs w:val="24"/>
          <w:lang w:eastAsia="en-GB"/>
        </w:rPr>
      </w:pPr>
      <w:r>
        <w:rPr>
          <w:rFonts w:eastAsia="Times New Roman" w:cs="Trebuchet MS"/>
          <w:b/>
          <w:bCs/>
          <w:color w:val="000000"/>
          <w:sz w:val="24"/>
          <w:szCs w:val="24"/>
          <w:lang w:eastAsia="en-GB"/>
        </w:rPr>
        <w:br w:type="page"/>
      </w:r>
    </w:p>
    <w:p w:rsidR="00ED3F3B" w:rsidRPr="00ED3F3B" w:rsidRDefault="00ED3F3B" w:rsidP="00ED3F3B">
      <w:pPr>
        <w:spacing w:after="0" w:line="240" w:lineRule="auto"/>
        <w:rPr>
          <w:rFonts w:eastAsia="Times New Roman" w:cs="Trebuchet MS"/>
          <w:b/>
          <w:bCs/>
          <w:color w:val="000000"/>
          <w:sz w:val="24"/>
          <w:szCs w:val="24"/>
          <w:lang w:eastAsia="en-GB"/>
        </w:rPr>
      </w:pPr>
      <w:r w:rsidRPr="00ED3F3B">
        <w:rPr>
          <w:rFonts w:eastAsia="Times New Roman" w:cs="Trebuchet MS"/>
          <w:b/>
          <w:bCs/>
          <w:color w:val="000000"/>
          <w:sz w:val="24"/>
          <w:szCs w:val="24"/>
          <w:lang w:eastAsia="en-GB"/>
        </w:rPr>
        <w:lastRenderedPageBreak/>
        <w:t>Local authorities and defrayal -</w:t>
      </w:r>
      <w:r w:rsidRPr="00ED3F3B">
        <w:rPr>
          <w:rFonts w:eastAsia="Times New Roman" w:cs="Trebuchet MS"/>
          <w:b/>
          <w:color w:val="000000"/>
          <w:sz w:val="24"/>
          <w:szCs w:val="24"/>
          <w:lang w:eastAsia="en-GB"/>
        </w:rPr>
        <w:t xml:space="preserve"> are bank statements needed to show defrayal involving a Local Authority?</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color w:val="000000"/>
          <w:sz w:val="24"/>
          <w:szCs w:val="24"/>
          <w:lang w:eastAsia="en-GB"/>
        </w:rPr>
      </w:pPr>
      <w:r w:rsidRPr="00ED3F3B">
        <w:rPr>
          <w:rFonts w:eastAsia="Times New Roman" w:cs="Trebuchet MS"/>
          <w:color w:val="000000"/>
          <w:sz w:val="24"/>
          <w:szCs w:val="24"/>
          <w:lang w:eastAsia="en-GB"/>
        </w:rPr>
        <w:t>Evidence of the defrayal is required for local authorities. If any issues are encountered, where a local authority partner refuse to provide bank statements, please discuss with your Funding Officer.</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color w:val="000000"/>
          <w:sz w:val="24"/>
          <w:szCs w:val="24"/>
          <w:lang w:eastAsia="en-GB"/>
        </w:rPr>
        <w:t>Defrayal of tax and NI, including employers NI and pension contributions, how is this shown?</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sz w:val="24"/>
          <w:szCs w:val="24"/>
          <w:lang w:eastAsia="en-GB"/>
        </w:rPr>
      </w:pPr>
      <w:r w:rsidRPr="00ED3F3B">
        <w:rPr>
          <w:rFonts w:eastAsia="Times New Roman" w:cs="Trebuchet MS"/>
          <w:sz w:val="24"/>
          <w:szCs w:val="24"/>
          <w:lang w:eastAsia="en-GB"/>
        </w:rPr>
        <w:t>Defrayal of salary should be evidenced by payslips and audit trail evidence to the payroll payment on bank statements. For employers NI and pension contributions, which may be paid in a following month, you would need to retain evidence for inspection as this may be requested.</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color w:val="000000"/>
          <w:sz w:val="24"/>
          <w:szCs w:val="24"/>
          <w:lang w:eastAsia="en-GB"/>
        </w:rPr>
        <w:t>We are having trouble obtaining payslips as evidence of staff costs, do we have to get them or is there any alternative?</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color w:val="000000"/>
          <w:sz w:val="24"/>
          <w:szCs w:val="24"/>
          <w:lang w:eastAsia="en-GB"/>
        </w:rPr>
      </w:pPr>
      <w:r w:rsidRPr="00ED3F3B">
        <w:rPr>
          <w:rFonts w:eastAsia="Times New Roman" w:cs="Trebuchet MS"/>
          <w:color w:val="000000"/>
          <w:sz w:val="24"/>
          <w:szCs w:val="24"/>
          <w:lang w:eastAsia="en-GB"/>
        </w:rPr>
        <w:t>Staff costs must be evidenced by payslips, there is no alternative.</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color w:val="000000"/>
          <w:sz w:val="24"/>
          <w:szCs w:val="24"/>
          <w:lang w:eastAsia="en-GB"/>
        </w:rPr>
        <w:t xml:space="preserve">Some grant holders have indicated that they had been unable to claim taxable incentive linked to pay. E.g. Childcare vouchers.  We understood that such costs are eligible, can you please confirm if our understanding is correct? </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color w:val="000000"/>
          <w:sz w:val="24"/>
          <w:szCs w:val="24"/>
          <w:lang w:eastAsia="en-GB"/>
        </w:rPr>
      </w:pPr>
      <w:r w:rsidRPr="00ED3F3B">
        <w:rPr>
          <w:rFonts w:eastAsia="Times New Roman" w:cs="Trebuchet MS"/>
          <w:color w:val="000000"/>
          <w:sz w:val="24"/>
          <w:szCs w:val="24"/>
          <w:lang w:eastAsia="en-GB"/>
        </w:rPr>
        <w:t>We confirm that staff costs may include costs covered in a person's contract of employment that are taxable incentives linked to pay and pension contributions. As long as the incentive meets this condition and it can be evidenced including evidence of defrayal, it may be claimed.  If you have any specific queries, please discuss with your Funding Officer.</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bCs/>
          <w:color w:val="000000"/>
          <w:sz w:val="24"/>
          <w:szCs w:val="24"/>
          <w:lang w:eastAsia="en-GB"/>
        </w:rPr>
        <w:t>Payment of partners in advance</w:t>
      </w:r>
      <w:r w:rsidRPr="00ED3F3B">
        <w:rPr>
          <w:rFonts w:eastAsia="Times New Roman" w:cs="Trebuchet MS"/>
          <w:b/>
          <w:color w:val="000000"/>
          <w:sz w:val="24"/>
          <w:szCs w:val="24"/>
          <w:lang w:eastAsia="en-GB"/>
        </w:rPr>
        <w:t xml:space="preserve"> – Where a partner claims but then it transpires that they do not produce any evidence, the lead cannot easily reclaim that money.</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color w:val="000000"/>
          <w:sz w:val="24"/>
          <w:szCs w:val="24"/>
          <w:lang w:eastAsia="en-GB"/>
        </w:rPr>
      </w:pPr>
      <w:r w:rsidRPr="00ED3F3B">
        <w:rPr>
          <w:rFonts w:eastAsia="Times New Roman" w:cs="Trebuchet MS"/>
          <w:color w:val="000000"/>
          <w:sz w:val="24"/>
          <w:szCs w:val="24"/>
          <w:lang w:eastAsia="en-GB"/>
        </w:rPr>
        <w:t>It is for lead organisations to manage such issues with partners.  Where you experience difficulties it is acceptable to mirror our payment arrangements and withhold or reduce future payments until information is provided.</w:t>
      </w:r>
      <w:r w:rsidRPr="00ED3F3B">
        <w:rPr>
          <w:rFonts w:eastAsia="Times New Roman" w:cs="Trebuchet MS"/>
          <w:color w:val="000000"/>
          <w:sz w:val="24"/>
          <w:szCs w:val="24"/>
          <w:lang w:eastAsia="en-GB"/>
        </w:rPr>
        <w:br/>
      </w:r>
      <w:r w:rsidRPr="00ED3F3B">
        <w:rPr>
          <w:rFonts w:eastAsia="Times New Roman" w:cs="Trebuchet MS"/>
          <w:color w:val="000000"/>
          <w:sz w:val="24"/>
          <w:szCs w:val="24"/>
          <w:lang w:eastAsia="en-GB"/>
        </w:rPr>
        <w:br/>
        <w:t>Please also make your Funding Officer aware of such situations.</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bCs/>
          <w:color w:val="000000"/>
          <w:sz w:val="24"/>
          <w:szCs w:val="24"/>
          <w:lang w:eastAsia="en-GB"/>
        </w:rPr>
        <w:t>Re-profiling between budget lines</w:t>
      </w:r>
      <w:r w:rsidRPr="00ED3F3B">
        <w:rPr>
          <w:rFonts w:eastAsia="Times New Roman" w:cs="Trebuchet MS"/>
          <w:b/>
          <w:color w:val="000000"/>
          <w:sz w:val="24"/>
          <w:szCs w:val="24"/>
          <w:lang w:eastAsia="en-GB"/>
        </w:rPr>
        <w:t xml:space="preserve"> – When partners wish to re-profile between budget lines (generally tweaking budget) what is the best way to manage this?</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color w:val="000000"/>
          <w:sz w:val="24"/>
          <w:szCs w:val="24"/>
          <w:lang w:eastAsia="en-GB"/>
        </w:rPr>
      </w:pPr>
      <w:r w:rsidRPr="00ED3F3B">
        <w:rPr>
          <w:rFonts w:eastAsia="Times New Roman" w:cs="Trebuchet MS"/>
          <w:color w:val="000000"/>
          <w:sz w:val="24"/>
          <w:szCs w:val="24"/>
          <w:lang w:eastAsia="en-GB"/>
        </w:rPr>
        <w:t>Please discuss with your Funding Officer.</w:t>
      </w:r>
    </w:p>
    <w:p w:rsidR="00ED3F3B" w:rsidRDefault="00ED3F3B" w:rsidP="00ED3F3B">
      <w:pPr>
        <w:spacing w:after="0"/>
        <w:rPr>
          <w:sz w:val="24"/>
          <w:szCs w:val="24"/>
        </w:rPr>
      </w:pPr>
    </w:p>
    <w:p w:rsidR="00E92248" w:rsidRDefault="00E92248">
      <w:pPr>
        <w:rPr>
          <w:rFonts w:eastAsia="Times New Roman" w:cs="Trebuchet MS"/>
          <w:b/>
          <w:color w:val="000000"/>
          <w:sz w:val="24"/>
          <w:szCs w:val="24"/>
          <w:lang w:eastAsia="en-GB"/>
        </w:rPr>
      </w:pPr>
      <w:r>
        <w:rPr>
          <w:rFonts w:eastAsia="Times New Roman" w:cs="Trebuchet MS"/>
          <w:b/>
          <w:color w:val="000000"/>
          <w:sz w:val="24"/>
          <w:szCs w:val="24"/>
          <w:lang w:eastAsia="en-GB"/>
        </w:rPr>
        <w:br w:type="page"/>
      </w: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color w:val="000000"/>
          <w:sz w:val="24"/>
          <w:szCs w:val="24"/>
          <w:lang w:eastAsia="en-GB"/>
        </w:rPr>
        <w:lastRenderedPageBreak/>
        <w:t>How often do we re-profile budgets?</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color w:val="000000"/>
          <w:sz w:val="24"/>
          <w:szCs w:val="24"/>
          <w:lang w:eastAsia="en-GB"/>
        </w:rPr>
      </w:pPr>
      <w:r w:rsidRPr="00ED3F3B">
        <w:rPr>
          <w:rFonts w:eastAsia="Times New Roman" w:cs="Trebuchet MS"/>
          <w:color w:val="000000"/>
          <w:sz w:val="24"/>
          <w:szCs w:val="24"/>
          <w:lang w:eastAsia="en-GB"/>
        </w:rPr>
        <w:t>Re-profiling is done quarterly. As part of your submission to us you are required to complete Annex A outlining actual quarterly eligible costs claimed to date and forecasted quarterly costs for the remainder of your grant period.</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bCs/>
          <w:color w:val="000000"/>
          <w:sz w:val="24"/>
          <w:szCs w:val="24"/>
          <w:lang w:eastAsia="en-GB"/>
        </w:rPr>
        <w:t>Where pay increases are not factored in</w:t>
      </w:r>
      <w:r w:rsidRPr="00ED3F3B">
        <w:rPr>
          <w:rFonts w:eastAsia="Times New Roman" w:cs="Trebuchet MS"/>
          <w:b/>
          <w:color w:val="000000"/>
          <w:sz w:val="24"/>
          <w:szCs w:val="24"/>
          <w:lang w:eastAsia="en-GB"/>
        </w:rPr>
        <w:t xml:space="preserve"> – Where pay increases have not been factored into the grant forecast is it ok to keep payments at their current rates and not base payments on increased costs? </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color w:val="000000"/>
          <w:sz w:val="24"/>
          <w:szCs w:val="24"/>
          <w:lang w:eastAsia="en-GB"/>
        </w:rPr>
      </w:pPr>
      <w:r w:rsidRPr="00ED3F3B">
        <w:rPr>
          <w:rFonts w:eastAsia="Times New Roman" w:cs="Trebuchet MS"/>
          <w:color w:val="000000"/>
          <w:sz w:val="24"/>
          <w:szCs w:val="24"/>
          <w:lang w:eastAsia="en-GB"/>
        </w:rPr>
        <w:t>No as the programme is based on actual costs. Where the forecast did not factor in pay increases please discuss it with your Funding Officer.</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color w:val="000000"/>
          <w:sz w:val="24"/>
          <w:szCs w:val="24"/>
          <w:lang w:eastAsia="en-GB"/>
        </w:rPr>
        <w:t>Do we have the new version of Annex A’s with information already transferred across?</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color w:val="000000"/>
          <w:sz w:val="24"/>
          <w:szCs w:val="24"/>
          <w:lang w:eastAsia="en-GB"/>
        </w:rPr>
      </w:pPr>
      <w:r w:rsidRPr="00ED3F3B">
        <w:rPr>
          <w:rFonts w:eastAsia="Times New Roman" w:cs="Trebuchet MS"/>
          <w:color w:val="000000"/>
          <w:sz w:val="24"/>
          <w:szCs w:val="24"/>
          <w:lang w:eastAsia="en-GB"/>
        </w:rPr>
        <w:t>We have prepared some Annex A's previously submitted ready for our claim to the Managing Authority. Your Funding Officer will be able to assist with and provide instructions for projects transitioning to the new version of Annex A.</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color w:val="000000"/>
          <w:sz w:val="24"/>
          <w:szCs w:val="24"/>
          <w:lang w:eastAsia="en-GB"/>
        </w:rPr>
        <w:t>If a partner pays staff an hourly rate that includes travel costs and expenses is this acceptable?</w:t>
      </w:r>
    </w:p>
    <w:p w:rsidR="00ED3F3B" w:rsidRDefault="00ED3F3B" w:rsidP="00ED3F3B">
      <w:pPr>
        <w:spacing w:after="0"/>
        <w:rPr>
          <w:sz w:val="24"/>
          <w:szCs w:val="24"/>
        </w:rPr>
      </w:pPr>
    </w:p>
    <w:p w:rsidR="00ED3F3B" w:rsidRPr="00ED3F3B" w:rsidRDefault="00E92248" w:rsidP="00ED3F3B">
      <w:pPr>
        <w:spacing w:after="0" w:line="240" w:lineRule="auto"/>
        <w:rPr>
          <w:rFonts w:eastAsia="Times New Roman" w:cs="Trebuchet MS"/>
          <w:sz w:val="24"/>
          <w:szCs w:val="24"/>
          <w:lang w:eastAsia="en-GB"/>
        </w:rPr>
      </w:pPr>
      <w:r>
        <w:rPr>
          <w:rFonts w:eastAsia="Times New Roman" w:cs="Trebuchet MS"/>
          <w:sz w:val="24"/>
          <w:szCs w:val="24"/>
          <w:lang w:eastAsia="en-GB"/>
        </w:rPr>
        <w:t>If you have a</w:t>
      </w:r>
      <w:r w:rsidR="00ED3F3B" w:rsidRPr="00ED3F3B">
        <w:rPr>
          <w:rFonts w:eastAsia="Times New Roman" w:cs="Trebuchet MS"/>
          <w:sz w:val="24"/>
          <w:szCs w:val="24"/>
          <w:lang w:eastAsia="en-GB"/>
        </w:rPr>
        <w:t xml:space="preserve"> Service Level Agreement (SLA) with the partner which outlines this agreement it would be acceptable, evidenced by invoices that clearly lin</w:t>
      </w:r>
      <w:r>
        <w:rPr>
          <w:rFonts w:eastAsia="Times New Roman" w:cs="Trebuchet MS"/>
          <w:sz w:val="24"/>
          <w:szCs w:val="24"/>
          <w:lang w:eastAsia="en-GB"/>
        </w:rPr>
        <w:t xml:space="preserve">k to the SLA.  Costs would not </w:t>
      </w:r>
      <w:r w:rsidR="00ED3F3B" w:rsidRPr="00ED3F3B">
        <w:rPr>
          <w:rFonts w:eastAsia="Times New Roman" w:cs="Trebuchet MS"/>
          <w:sz w:val="24"/>
          <w:szCs w:val="24"/>
          <w:lang w:eastAsia="en-GB"/>
        </w:rPr>
        <w:t>be classed as direct staff costs in such cases and would affect the value of the 15% simpl</w:t>
      </w:r>
      <w:r>
        <w:rPr>
          <w:rFonts w:eastAsia="Times New Roman" w:cs="Trebuchet MS"/>
          <w:sz w:val="24"/>
          <w:szCs w:val="24"/>
          <w:lang w:eastAsia="en-GB"/>
        </w:rPr>
        <w:t>if</w:t>
      </w:r>
      <w:r w:rsidR="00ED3F3B" w:rsidRPr="00ED3F3B">
        <w:rPr>
          <w:rFonts w:eastAsia="Times New Roman" w:cs="Trebuchet MS"/>
          <w:sz w:val="24"/>
          <w:szCs w:val="24"/>
          <w:lang w:eastAsia="en-GB"/>
        </w:rPr>
        <w:t>ied cost option calculation.</w:t>
      </w:r>
      <w:r w:rsidR="00ED3F3B" w:rsidRPr="00ED3F3B">
        <w:rPr>
          <w:rFonts w:eastAsia="Times New Roman" w:cs="Trebuchet MS"/>
          <w:sz w:val="24"/>
          <w:szCs w:val="24"/>
          <w:lang w:eastAsia="en-GB"/>
        </w:rPr>
        <w:br/>
      </w:r>
      <w:r w:rsidR="00ED3F3B" w:rsidRPr="00ED3F3B">
        <w:rPr>
          <w:rFonts w:eastAsia="Times New Roman" w:cs="Trebuchet MS"/>
          <w:sz w:val="24"/>
          <w:szCs w:val="24"/>
          <w:lang w:eastAsia="en-GB"/>
        </w:rPr>
        <w:br/>
        <w:t>Otherwise costs would need to be claimed on an actual cost basis.</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color w:val="000000"/>
          <w:sz w:val="24"/>
          <w:szCs w:val="24"/>
          <w:lang w:eastAsia="en-GB"/>
        </w:rPr>
        <w:t>In what circumstances are costs for premises/room hire eligible?</w:t>
      </w:r>
    </w:p>
    <w:p w:rsidR="00ED3F3B" w:rsidRDefault="00ED3F3B" w:rsidP="00ED3F3B">
      <w:pPr>
        <w:spacing w:after="0"/>
        <w:rPr>
          <w:sz w:val="24"/>
          <w:szCs w:val="24"/>
        </w:rPr>
      </w:pPr>
    </w:p>
    <w:p w:rsidR="00E92248" w:rsidRDefault="00ED3F3B" w:rsidP="00E92248">
      <w:pPr>
        <w:spacing w:after="0" w:line="240" w:lineRule="auto"/>
        <w:rPr>
          <w:rFonts w:eastAsia="Times New Roman" w:cs="Trebuchet MS"/>
          <w:sz w:val="24"/>
          <w:szCs w:val="24"/>
          <w:lang w:eastAsia="en-GB"/>
        </w:rPr>
      </w:pPr>
      <w:r w:rsidRPr="00E92248">
        <w:rPr>
          <w:rFonts w:eastAsia="Times New Roman" w:cs="Trebuchet MS"/>
          <w:sz w:val="24"/>
          <w:szCs w:val="24"/>
          <w:lang w:eastAsia="en-GB"/>
        </w:rPr>
        <w:t>For the cost of premises to be eligible you would need to demonstrate that they are completely separate to the normal overheads of the organisation and solely for BBO use.  Our consideration of eligibility will include:</w:t>
      </w:r>
      <w:r w:rsidRPr="00E92248">
        <w:rPr>
          <w:rFonts w:eastAsia="Times New Roman" w:cs="Trebuchet MS"/>
          <w:sz w:val="24"/>
          <w:szCs w:val="24"/>
          <w:lang w:eastAsia="en-GB"/>
        </w:rPr>
        <w:br/>
      </w:r>
    </w:p>
    <w:p w:rsidR="00E92248" w:rsidRPr="00E92248" w:rsidRDefault="00ED3F3B" w:rsidP="00E92248">
      <w:pPr>
        <w:pStyle w:val="ListParagraph"/>
        <w:numPr>
          <w:ilvl w:val="0"/>
          <w:numId w:val="9"/>
        </w:numPr>
        <w:spacing w:after="0" w:line="240" w:lineRule="auto"/>
        <w:ind w:left="357" w:hanging="357"/>
        <w:rPr>
          <w:rFonts w:eastAsia="Times New Roman" w:cs="Trebuchet MS"/>
          <w:sz w:val="24"/>
          <w:szCs w:val="24"/>
          <w:lang w:eastAsia="en-GB"/>
        </w:rPr>
      </w:pPr>
      <w:r w:rsidRPr="00E92248">
        <w:rPr>
          <w:rFonts w:eastAsia="Times New Roman" w:cs="Trebuchet MS"/>
          <w:sz w:val="24"/>
          <w:szCs w:val="24"/>
          <w:lang w:eastAsia="en-GB"/>
        </w:rPr>
        <w:t>when the lease commenced</w:t>
      </w:r>
    </w:p>
    <w:p w:rsidR="00E92248" w:rsidRPr="00E92248" w:rsidRDefault="00ED3F3B" w:rsidP="00E92248">
      <w:pPr>
        <w:pStyle w:val="ListParagraph"/>
        <w:numPr>
          <w:ilvl w:val="0"/>
          <w:numId w:val="2"/>
        </w:numPr>
        <w:spacing w:after="0" w:line="240" w:lineRule="auto"/>
        <w:ind w:left="357" w:hanging="357"/>
        <w:rPr>
          <w:rFonts w:eastAsia="Times New Roman" w:cs="Trebuchet MS"/>
          <w:sz w:val="24"/>
          <w:szCs w:val="24"/>
          <w:lang w:eastAsia="en-GB"/>
        </w:rPr>
      </w:pPr>
      <w:r w:rsidRPr="00E92248">
        <w:rPr>
          <w:rFonts w:eastAsia="Times New Roman" w:cs="Trebuchet MS"/>
          <w:sz w:val="24"/>
          <w:szCs w:val="24"/>
          <w:lang w:eastAsia="en-GB"/>
        </w:rPr>
        <w:t>the durati</w:t>
      </w:r>
      <w:r w:rsidR="00E92248" w:rsidRPr="00E92248">
        <w:rPr>
          <w:rFonts w:eastAsia="Times New Roman" w:cs="Trebuchet MS"/>
          <w:sz w:val="24"/>
          <w:szCs w:val="24"/>
          <w:lang w:eastAsia="en-GB"/>
        </w:rPr>
        <w:t>on of the lease</w:t>
      </w:r>
    </w:p>
    <w:p w:rsidR="00E92248" w:rsidRPr="00E92248" w:rsidRDefault="00ED3F3B" w:rsidP="00E92248">
      <w:pPr>
        <w:pStyle w:val="ListParagraph"/>
        <w:numPr>
          <w:ilvl w:val="0"/>
          <w:numId w:val="2"/>
        </w:numPr>
        <w:spacing w:after="0" w:line="240" w:lineRule="auto"/>
        <w:ind w:left="357" w:hanging="357"/>
        <w:rPr>
          <w:rFonts w:eastAsia="Times New Roman" w:cs="Trebuchet MS"/>
          <w:sz w:val="24"/>
          <w:szCs w:val="24"/>
          <w:lang w:eastAsia="en-GB"/>
        </w:rPr>
      </w:pPr>
      <w:r w:rsidRPr="00E92248">
        <w:rPr>
          <w:rFonts w:eastAsia="Times New Roman" w:cs="Trebuchet MS"/>
          <w:sz w:val="24"/>
          <w:szCs w:val="24"/>
          <w:lang w:eastAsia="en-GB"/>
        </w:rPr>
        <w:t>whether there is good justification for the need of the new premises.</w:t>
      </w:r>
    </w:p>
    <w:p w:rsidR="00ED3F3B" w:rsidRPr="00ED3F3B" w:rsidRDefault="00ED3F3B" w:rsidP="00ED3F3B">
      <w:pPr>
        <w:spacing w:after="0" w:line="240" w:lineRule="auto"/>
        <w:rPr>
          <w:rFonts w:eastAsia="Times New Roman" w:cs="Trebuchet MS"/>
          <w:sz w:val="24"/>
          <w:szCs w:val="24"/>
          <w:lang w:eastAsia="en-GB"/>
        </w:rPr>
      </w:pPr>
      <w:r w:rsidRPr="00ED3F3B">
        <w:rPr>
          <w:rFonts w:eastAsia="Times New Roman" w:cs="Trebuchet MS"/>
          <w:sz w:val="24"/>
          <w:szCs w:val="24"/>
          <w:lang w:eastAsia="en-GB"/>
        </w:rPr>
        <w:br/>
        <w:t>Internal re-charging of room hire charges is not an eligible cost as this is included in the 15% simplified cost  option.  The hire of premises from a partner would also not be considered eligible as this is not within the spirit of  partnership working with potential double funding occurring as overheads for the partner are already  included within the 15% simplified cost option.</w:t>
      </w:r>
    </w:p>
    <w:p w:rsidR="00ED3F3B" w:rsidRDefault="00ED3F3B" w:rsidP="00ED3F3B">
      <w:pPr>
        <w:spacing w:after="0"/>
        <w:rPr>
          <w:sz w:val="24"/>
          <w:szCs w:val="24"/>
        </w:rPr>
      </w:pPr>
    </w:p>
    <w:p w:rsidR="00E92248" w:rsidRDefault="00E92248">
      <w:pPr>
        <w:rPr>
          <w:rFonts w:eastAsia="Times New Roman" w:cs="Trebuchet MS"/>
          <w:b/>
          <w:bCs/>
          <w:color w:val="000000"/>
          <w:sz w:val="24"/>
          <w:szCs w:val="24"/>
          <w:lang w:eastAsia="en-GB"/>
        </w:rPr>
      </w:pPr>
      <w:r>
        <w:rPr>
          <w:rFonts w:eastAsia="Times New Roman" w:cs="Trebuchet MS"/>
          <w:b/>
          <w:bCs/>
          <w:color w:val="000000"/>
          <w:sz w:val="24"/>
          <w:szCs w:val="24"/>
          <w:lang w:eastAsia="en-GB"/>
        </w:rPr>
        <w:br w:type="page"/>
      </w: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bCs/>
          <w:color w:val="000000"/>
          <w:sz w:val="24"/>
          <w:szCs w:val="24"/>
          <w:lang w:eastAsia="en-GB"/>
        </w:rPr>
        <w:lastRenderedPageBreak/>
        <w:t>Payment Procedures</w:t>
      </w:r>
      <w:r w:rsidRPr="00ED3F3B">
        <w:rPr>
          <w:rFonts w:eastAsia="Times New Roman" w:cs="Trebuchet MS"/>
          <w:b/>
          <w:color w:val="000000"/>
          <w:sz w:val="24"/>
          <w:szCs w:val="24"/>
          <w:lang w:eastAsia="en-GB"/>
        </w:rPr>
        <w:t xml:space="preserve"> - can we have clearer guidance regarding grant payments made as reduced payments can mean we are unable to pay partners?</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color w:val="000000"/>
          <w:sz w:val="24"/>
          <w:szCs w:val="24"/>
          <w:lang w:eastAsia="en-GB"/>
        </w:rPr>
      </w:pPr>
      <w:r w:rsidRPr="00ED3F3B">
        <w:rPr>
          <w:rFonts w:eastAsia="Times New Roman" w:cs="Trebuchet MS"/>
          <w:color w:val="000000"/>
          <w:sz w:val="24"/>
          <w:szCs w:val="24"/>
          <w:lang w:eastAsia="en-GB"/>
        </w:rPr>
        <w:t>Grant instalments are paid up to three months in advance with the payments based on your forecast of planned expenditure for that period.</w:t>
      </w:r>
      <w:r w:rsidRPr="00ED3F3B">
        <w:rPr>
          <w:rFonts w:eastAsia="Times New Roman" w:cs="Trebuchet MS"/>
          <w:color w:val="000000"/>
          <w:sz w:val="24"/>
          <w:szCs w:val="24"/>
          <w:lang w:eastAsia="en-GB"/>
        </w:rPr>
        <w:br/>
      </w:r>
      <w:r w:rsidRPr="00ED3F3B">
        <w:rPr>
          <w:rFonts w:eastAsia="Times New Roman" w:cs="Trebuchet MS"/>
          <w:color w:val="000000"/>
          <w:sz w:val="24"/>
          <w:szCs w:val="24"/>
          <w:lang w:eastAsia="en-GB"/>
        </w:rPr>
        <w:br/>
        <w:t>If your actual costs for previous period were less than you forecasted, we will look to reduce the value of your next payment to reflect the difference. We'll also apply any other adjustments where costs are found to be ineligible.</w:t>
      </w:r>
      <w:r w:rsidRPr="00ED3F3B">
        <w:rPr>
          <w:rFonts w:eastAsia="Times New Roman" w:cs="Trebuchet MS"/>
          <w:color w:val="000000"/>
          <w:sz w:val="24"/>
          <w:szCs w:val="24"/>
          <w:lang w:eastAsia="en-GB"/>
        </w:rPr>
        <w:br/>
      </w:r>
      <w:r w:rsidRPr="00ED3F3B">
        <w:rPr>
          <w:rFonts w:eastAsia="Times New Roman" w:cs="Trebuchet MS"/>
          <w:color w:val="000000"/>
          <w:sz w:val="24"/>
          <w:szCs w:val="24"/>
          <w:lang w:eastAsia="en-GB"/>
        </w:rPr>
        <w:br/>
        <w:t>As we are paying you in advance we would expect you to also pay partners in advance, however, if a reduced payment was as a result of an issue with a partner it is acceptable for you to mirror our arrangements and withhold or reduce payments for that partner until corrective action has been taken.</w:t>
      </w:r>
      <w:r w:rsidRPr="00ED3F3B">
        <w:rPr>
          <w:rFonts w:eastAsia="Times New Roman" w:cs="Trebuchet MS"/>
          <w:color w:val="000000"/>
          <w:sz w:val="24"/>
          <w:szCs w:val="24"/>
          <w:lang w:eastAsia="en-GB"/>
        </w:rPr>
        <w:br/>
      </w:r>
      <w:r w:rsidRPr="00ED3F3B">
        <w:rPr>
          <w:rFonts w:eastAsia="Times New Roman" w:cs="Trebuchet MS"/>
          <w:color w:val="000000"/>
          <w:sz w:val="24"/>
          <w:szCs w:val="24"/>
          <w:lang w:eastAsia="en-GB"/>
        </w:rPr>
        <w:br/>
        <w:t>Where a reduced payment will result in cash flow issues, please discuss with your Funding Officer.</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bCs/>
          <w:color w:val="000000"/>
          <w:sz w:val="24"/>
          <w:szCs w:val="24"/>
          <w:lang w:eastAsia="en-GB"/>
        </w:rPr>
        <w:t>Course fees</w:t>
      </w:r>
      <w:r w:rsidRPr="00ED3F3B">
        <w:rPr>
          <w:rFonts w:eastAsia="Times New Roman" w:cs="Trebuchet MS"/>
          <w:b/>
          <w:color w:val="000000"/>
          <w:sz w:val="24"/>
          <w:szCs w:val="24"/>
          <w:lang w:eastAsia="en-GB"/>
        </w:rPr>
        <w:t xml:space="preserve"> - A partner has set charges for delivery of courses and therefore evidence will be an invoice, is this acceptable?</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sz w:val="24"/>
          <w:szCs w:val="24"/>
          <w:lang w:eastAsia="en-GB"/>
        </w:rPr>
      </w:pPr>
      <w:r w:rsidRPr="00ED3F3B">
        <w:rPr>
          <w:rFonts w:eastAsia="Times New Roman" w:cs="Trebuchet MS"/>
          <w:sz w:val="24"/>
          <w:szCs w:val="24"/>
          <w:lang w:eastAsia="en-GB"/>
        </w:rPr>
        <w:t>If you have a Service Level Agreement (SLA) with the partner detailing the arrangement then this is acceptable. Invoices would need to detail what was provided (how many hours etc</w:t>
      </w:r>
      <w:r w:rsidR="00E92248">
        <w:rPr>
          <w:rFonts w:eastAsia="Times New Roman" w:cs="Trebuchet MS"/>
          <w:sz w:val="24"/>
          <w:szCs w:val="24"/>
          <w:lang w:eastAsia="en-GB"/>
        </w:rPr>
        <w:t>.</w:t>
      </w:r>
      <w:r w:rsidRPr="00ED3F3B">
        <w:rPr>
          <w:rFonts w:eastAsia="Times New Roman" w:cs="Trebuchet MS"/>
          <w:sz w:val="24"/>
          <w:szCs w:val="24"/>
          <w:lang w:eastAsia="en-GB"/>
        </w:rPr>
        <w:t>) and this must clearly link to the SLA.  You will also need to bear in mind procurement regulations and value for money in these circumstances.</w:t>
      </w:r>
      <w:r w:rsidRPr="00ED3F3B">
        <w:rPr>
          <w:rFonts w:eastAsia="Times New Roman" w:cs="Trebuchet MS"/>
          <w:sz w:val="24"/>
          <w:szCs w:val="24"/>
          <w:lang w:eastAsia="en-GB"/>
        </w:rPr>
        <w:br/>
      </w:r>
      <w:r w:rsidRPr="00ED3F3B">
        <w:rPr>
          <w:rFonts w:eastAsia="Times New Roman" w:cs="Trebuchet MS"/>
          <w:sz w:val="24"/>
          <w:szCs w:val="24"/>
          <w:lang w:eastAsia="en-GB"/>
        </w:rPr>
        <w:br/>
        <w:t xml:space="preserve">If you not have an SLA it must be on an actual cost basis, supported by timesheets and 1,720 calculation where </w:t>
      </w:r>
      <w:r w:rsidR="00E92248" w:rsidRPr="00ED3F3B">
        <w:rPr>
          <w:rFonts w:eastAsia="Times New Roman" w:cs="Trebuchet MS"/>
          <w:sz w:val="24"/>
          <w:szCs w:val="24"/>
          <w:lang w:eastAsia="en-GB"/>
        </w:rPr>
        <w:t>appropriate</w:t>
      </w:r>
      <w:r w:rsidRPr="00ED3F3B">
        <w:rPr>
          <w:rFonts w:eastAsia="Times New Roman" w:cs="Trebuchet MS"/>
          <w:sz w:val="24"/>
          <w:szCs w:val="24"/>
          <w:lang w:eastAsia="en-GB"/>
        </w:rPr>
        <w:t>.</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color w:val="000000"/>
          <w:sz w:val="24"/>
          <w:szCs w:val="24"/>
          <w:lang w:eastAsia="en-GB"/>
        </w:rPr>
        <w:t>We have heard some grant holders are using a method other than the 1720 method to calculate the hourly rate of staff not working 100% on the projec</w:t>
      </w:r>
      <w:r w:rsidR="00E92248">
        <w:rPr>
          <w:rFonts w:eastAsia="Times New Roman" w:cs="Trebuchet MS"/>
          <w:b/>
          <w:color w:val="000000"/>
          <w:sz w:val="24"/>
          <w:szCs w:val="24"/>
          <w:lang w:eastAsia="en-GB"/>
        </w:rPr>
        <w:t>t, is that something we can use</w:t>
      </w:r>
      <w:r w:rsidRPr="00ED3F3B">
        <w:rPr>
          <w:rFonts w:eastAsia="Times New Roman" w:cs="Trebuchet MS"/>
          <w:b/>
          <w:color w:val="000000"/>
          <w:sz w:val="24"/>
          <w:szCs w:val="24"/>
          <w:lang w:eastAsia="en-GB"/>
        </w:rPr>
        <w:t>?</w:t>
      </w:r>
    </w:p>
    <w:p w:rsidR="00ED3F3B" w:rsidRDefault="00ED3F3B" w:rsidP="00ED3F3B">
      <w:pPr>
        <w:spacing w:after="0"/>
        <w:rPr>
          <w:sz w:val="24"/>
          <w:szCs w:val="24"/>
        </w:rPr>
      </w:pPr>
    </w:p>
    <w:p w:rsidR="00E92248" w:rsidRDefault="00ED3F3B" w:rsidP="00ED3F3B">
      <w:pPr>
        <w:spacing w:after="0" w:line="240" w:lineRule="auto"/>
        <w:rPr>
          <w:rFonts w:eastAsia="Times New Roman" w:cs="Trebuchet MS"/>
          <w:sz w:val="24"/>
          <w:szCs w:val="24"/>
          <w:lang w:eastAsia="en-GB"/>
        </w:rPr>
      </w:pPr>
      <w:r w:rsidRPr="00ED3F3B">
        <w:rPr>
          <w:rFonts w:eastAsia="Times New Roman" w:cs="Trebuchet MS"/>
          <w:sz w:val="24"/>
          <w:szCs w:val="24"/>
          <w:lang w:eastAsia="en-GB"/>
        </w:rPr>
        <w:t>We have agreed an alternative to the 1,720 method, in a very small number of cases, where:</w:t>
      </w:r>
      <w:r w:rsidRPr="00ED3F3B">
        <w:rPr>
          <w:rFonts w:eastAsia="Times New Roman" w:cs="Trebuchet MS"/>
          <w:sz w:val="24"/>
          <w:szCs w:val="24"/>
          <w:lang w:eastAsia="en-GB"/>
        </w:rPr>
        <w:br/>
      </w:r>
    </w:p>
    <w:p w:rsidR="00E92248" w:rsidRPr="00E92248" w:rsidRDefault="00ED3F3B" w:rsidP="00E92248">
      <w:pPr>
        <w:pStyle w:val="ListParagraph"/>
        <w:numPr>
          <w:ilvl w:val="0"/>
          <w:numId w:val="2"/>
        </w:numPr>
        <w:spacing w:after="0" w:line="240" w:lineRule="auto"/>
        <w:ind w:left="357" w:hanging="357"/>
        <w:rPr>
          <w:rFonts w:eastAsia="Times New Roman" w:cs="Trebuchet MS"/>
          <w:sz w:val="24"/>
          <w:szCs w:val="24"/>
          <w:lang w:eastAsia="en-GB"/>
        </w:rPr>
      </w:pPr>
      <w:r w:rsidRPr="00E92248">
        <w:rPr>
          <w:rFonts w:eastAsia="Times New Roman" w:cs="Trebuchet MS"/>
          <w:sz w:val="24"/>
          <w:szCs w:val="24"/>
          <w:lang w:eastAsia="en-GB"/>
        </w:rPr>
        <w:t>staff have a standard full-time working week of 37 hours per week or less; and</w:t>
      </w:r>
    </w:p>
    <w:p w:rsidR="00ED3F3B" w:rsidRPr="00E92248" w:rsidRDefault="00ED3F3B" w:rsidP="00E92248">
      <w:pPr>
        <w:pStyle w:val="ListParagraph"/>
        <w:numPr>
          <w:ilvl w:val="0"/>
          <w:numId w:val="2"/>
        </w:numPr>
        <w:spacing w:after="0" w:line="240" w:lineRule="auto"/>
        <w:ind w:left="357" w:hanging="357"/>
        <w:rPr>
          <w:rFonts w:eastAsia="Times New Roman" w:cs="Trebuchet MS"/>
          <w:sz w:val="24"/>
          <w:szCs w:val="24"/>
          <w:lang w:eastAsia="en-GB"/>
        </w:rPr>
      </w:pPr>
      <w:r w:rsidRPr="00E92248">
        <w:rPr>
          <w:rFonts w:eastAsia="Times New Roman" w:cs="Trebuchet MS"/>
          <w:sz w:val="24"/>
          <w:szCs w:val="24"/>
          <w:lang w:eastAsia="en-GB"/>
        </w:rPr>
        <w:t>the grant holder has been able to demonstrate that they will be significantly financially disadvantaged by using the Managing Authority's standardised hourly - 1,720 working hours per year calculation</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color w:val="000000"/>
          <w:sz w:val="24"/>
          <w:szCs w:val="24"/>
          <w:lang w:eastAsia="en-GB"/>
        </w:rPr>
        <w:t>What is the meaning of 'Claw back'?</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color w:val="000000"/>
          <w:sz w:val="24"/>
          <w:szCs w:val="24"/>
          <w:lang w:eastAsia="en-GB"/>
        </w:rPr>
      </w:pPr>
      <w:r w:rsidRPr="00ED3F3B">
        <w:rPr>
          <w:rFonts w:eastAsia="Times New Roman" w:cs="Trebuchet MS"/>
          <w:color w:val="000000"/>
          <w:sz w:val="24"/>
          <w:szCs w:val="24"/>
          <w:lang w:eastAsia="en-GB"/>
        </w:rPr>
        <w:t>If any of the evidence that the Managing Authority or the European Commission requires is ineligible, missing or incomplete, we may be forced to reclaim or 'claw back' some or even all of the previous payments we've made to you.</w:t>
      </w:r>
      <w:r w:rsidRPr="00ED3F3B">
        <w:rPr>
          <w:rFonts w:eastAsia="Times New Roman" w:cs="Trebuchet MS"/>
          <w:color w:val="000000"/>
          <w:sz w:val="24"/>
          <w:szCs w:val="24"/>
          <w:lang w:eastAsia="en-GB"/>
        </w:rPr>
        <w:br/>
      </w:r>
      <w:r w:rsidRPr="00ED3F3B">
        <w:rPr>
          <w:rFonts w:eastAsia="Times New Roman" w:cs="Trebuchet MS"/>
          <w:color w:val="000000"/>
          <w:sz w:val="24"/>
          <w:szCs w:val="24"/>
          <w:lang w:eastAsia="en-GB"/>
        </w:rPr>
        <w:br/>
        <w:t xml:space="preserve">It is the lead organisation, as the body directly accountable to us, which bears </w:t>
      </w:r>
      <w:r w:rsidRPr="00ED3F3B">
        <w:rPr>
          <w:rFonts w:eastAsia="Times New Roman" w:cs="Trebuchet MS"/>
          <w:color w:val="000000"/>
          <w:sz w:val="24"/>
          <w:szCs w:val="24"/>
          <w:lang w:eastAsia="en-GB"/>
        </w:rPr>
        <w:lastRenderedPageBreak/>
        <w:t>much of the risk of claw back. If they are audited years later and haven't retained the right documentation, all money paid could still be clawed back by the European Commission.  It is therefore extremely important you do not underestimate the time required to collect, check, report and store evidence.</w:t>
      </w:r>
      <w:r w:rsidRPr="00ED3F3B">
        <w:rPr>
          <w:rFonts w:eastAsia="Times New Roman" w:cs="Trebuchet MS"/>
          <w:color w:val="000000"/>
          <w:sz w:val="24"/>
          <w:szCs w:val="24"/>
          <w:lang w:eastAsia="en-GB"/>
        </w:rPr>
        <w:br/>
      </w:r>
      <w:r w:rsidRPr="00ED3F3B">
        <w:rPr>
          <w:rFonts w:eastAsia="Times New Roman" w:cs="Trebuchet MS"/>
          <w:color w:val="000000"/>
          <w:sz w:val="24"/>
          <w:szCs w:val="24"/>
          <w:lang w:eastAsia="en-GB"/>
        </w:rPr>
        <w:br/>
        <w:t>Further information regarding evidence and retention can be found in our BBO guide.</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color w:val="000000"/>
          <w:sz w:val="24"/>
          <w:szCs w:val="24"/>
          <w:lang w:eastAsia="en-GB"/>
        </w:rPr>
        <w:t>Are there any circumstances where attribution of</w:t>
      </w:r>
      <w:r w:rsidR="00E92248">
        <w:rPr>
          <w:rFonts w:eastAsia="Times New Roman" w:cs="Trebuchet MS"/>
          <w:b/>
          <w:color w:val="000000"/>
          <w:sz w:val="24"/>
          <w:szCs w:val="24"/>
          <w:lang w:eastAsia="en-GB"/>
        </w:rPr>
        <w:t xml:space="preserve"> costs is allowed?  For example,</w:t>
      </w:r>
      <w:r w:rsidRPr="00ED3F3B">
        <w:rPr>
          <w:rFonts w:eastAsia="Times New Roman" w:cs="Trebuchet MS"/>
          <w:b/>
          <w:color w:val="000000"/>
          <w:sz w:val="24"/>
          <w:szCs w:val="24"/>
          <w:lang w:eastAsia="en-GB"/>
        </w:rPr>
        <w:t xml:space="preserve"> a bulk purchase is made for value for value for money purposes</w:t>
      </w:r>
      <w:r w:rsidRPr="00ED3F3B">
        <w:rPr>
          <w:rFonts w:eastAsia="Times New Roman" w:cs="Trebuchet MS"/>
          <w:b/>
          <w:color w:val="000000"/>
          <w:sz w:val="24"/>
          <w:szCs w:val="24"/>
          <w:lang w:eastAsia="en-GB"/>
        </w:rPr>
        <w:br/>
      </w:r>
      <w:r w:rsidR="00E92248">
        <w:rPr>
          <w:rFonts w:eastAsia="Times New Roman" w:cs="Trebuchet MS"/>
          <w:b/>
          <w:color w:val="000000"/>
          <w:sz w:val="24"/>
          <w:szCs w:val="24"/>
          <w:lang w:eastAsia="en-GB"/>
        </w:rPr>
        <w:t>or</w:t>
      </w:r>
      <w:r w:rsidRPr="00ED3F3B">
        <w:rPr>
          <w:rFonts w:eastAsia="Times New Roman" w:cs="Trebuchet MS"/>
          <w:b/>
          <w:color w:val="000000"/>
          <w:sz w:val="24"/>
          <w:szCs w:val="24"/>
          <w:lang w:eastAsia="en-GB"/>
        </w:rPr>
        <w:t xml:space="preserve"> a shared minibus</w:t>
      </w:r>
      <w:r w:rsidR="00E92248">
        <w:rPr>
          <w:rFonts w:eastAsia="Times New Roman" w:cs="Trebuchet MS"/>
          <w:b/>
          <w:color w:val="000000"/>
          <w:sz w:val="24"/>
          <w:szCs w:val="24"/>
          <w:lang w:eastAsia="en-GB"/>
        </w:rPr>
        <w:t xml:space="preserve">? </w:t>
      </w:r>
      <w:r w:rsidRPr="00ED3F3B">
        <w:rPr>
          <w:rFonts w:eastAsia="Times New Roman" w:cs="Trebuchet MS"/>
          <w:b/>
          <w:color w:val="000000"/>
          <w:sz w:val="24"/>
          <w:szCs w:val="24"/>
          <w:lang w:eastAsia="en-GB"/>
        </w:rPr>
        <w:t>If attribution is not allowed, can actual cost be determined by providing a calculation/rationale to support it?</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sz w:val="24"/>
          <w:szCs w:val="24"/>
          <w:lang w:eastAsia="en-GB"/>
        </w:rPr>
      </w:pPr>
      <w:r w:rsidRPr="00ED3F3B">
        <w:rPr>
          <w:rFonts w:eastAsia="Times New Roman" w:cs="Trebuchet MS"/>
          <w:sz w:val="24"/>
          <w:szCs w:val="24"/>
          <w:lang w:eastAsia="en-GB"/>
        </w:rPr>
        <w:t>Generally apportionment of costs is not allowed as this is what the 15% simplified cost option is to cover. If you have a specific circumstance you would like guidance on please speak to you Funding Officer.</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color w:val="000000"/>
          <w:sz w:val="24"/>
          <w:szCs w:val="24"/>
          <w:lang w:eastAsia="en-GB"/>
        </w:rPr>
        <w:t>What are the Article 125 checks, what do they involve?</w:t>
      </w:r>
    </w:p>
    <w:p w:rsidR="00ED3F3B" w:rsidRDefault="00ED3F3B" w:rsidP="00ED3F3B">
      <w:pPr>
        <w:spacing w:after="0"/>
        <w:rPr>
          <w:sz w:val="24"/>
          <w:szCs w:val="24"/>
        </w:rPr>
      </w:pPr>
    </w:p>
    <w:p w:rsidR="00E92248" w:rsidRDefault="00ED3F3B" w:rsidP="00ED3F3B">
      <w:pPr>
        <w:spacing w:after="0" w:line="240" w:lineRule="auto"/>
        <w:rPr>
          <w:rFonts w:eastAsia="Times New Roman" w:cs="Trebuchet MS"/>
          <w:color w:val="000000"/>
          <w:sz w:val="24"/>
          <w:szCs w:val="24"/>
          <w:lang w:eastAsia="en-GB"/>
        </w:rPr>
      </w:pPr>
      <w:r w:rsidRPr="00ED3F3B">
        <w:rPr>
          <w:rFonts w:eastAsia="Times New Roman" w:cs="Trebuchet MS"/>
          <w:color w:val="000000"/>
          <w:sz w:val="24"/>
          <w:szCs w:val="24"/>
          <w:lang w:eastAsia="en-GB"/>
        </w:rPr>
        <w:t>Verification checks made under Article 125 of the Common Provisions Regulation (Regulation (EU) No 1303/2013 of the European Parliament and of the Council of 17.12.2013 relate to checks completed by the Managing Authority before request for payment is submitted to the European Commission and comprise two key elements namely, administrative verifications (i.e. desk-based verifications) in respect of claims made and on-the spot verifications of operations (project visits).</w:t>
      </w:r>
      <w:r w:rsidRPr="00ED3F3B">
        <w:rPr>
          <w:rFonts w:eastAsia="Times New Roman" w:cs="Trebuchet MS"/>
          <w:color w:val="000000"/>
          <w:sz w:val="24"/>
          <w:szCs w:val="24"/>
          <w:lang w:eastAsia="en-GB"/>
        </w:rPr>
        <w:br/>
      </w:r>
      <w:r w:rsidRPr="00ED3F3B">
        <w:rPr>
          <w:rFonts w:eastAsia="Times New Roman" w:cs="Trebuchet MS"/>
          <w:color w:val="000000"/>
          <w:sz w:val="24"/>
          <w:szCs w:val="24"/>
          <w:lang w:eastAsia="en-GB"/>
        </w:rPr>
        <w:br/>
        <w:t>All claims made by grant holders shall be subject to administrative verifications based on an examination of the claim and relevant supporting documentation such as invoices, delivery notes, bank statements, progress reports and timesheets. The verifications carried out are to establish that the expenditure is eligible and programme requirements have been followed.</w:t>
      </w:r>
      <w:r w:rsidRPr="00ED3F3B">
        <w:rPr>
          <w:rFonts w:eastAsia="Times New Roman" w:cs="Trebuchet MS"/>
          <w:color w:val="000000"/>
          <w:sz w:val="24"/>
          <w:szCs w:val="24"/>
          <w:lang w:eastAsia="en-GB"/>
        </w:rPr>
        <w:br/>
      </w:r>
      <w:r w:rsidRPr="00ED3F3B">
        <w:rPr>
          <w:rFonts w:eastAsia="Times New Roman" w:cs="Trebuchet MS"/>
          <w:color w:val="000000"/>
          <w:sz w:val="24"/>
          <w:szCs w:val="24"/>
          <w:lang w:eastAsia="en-GB"/>
        </w:rPr>
        <w:br/>
        <w:t>Detailed guidance of Article 1</w:t>
      </w:r>
      <w:r w:rsidR="00E92248">
        <w:rPr>
          <w:rFonts w:eastAsia="Times New Roman" w:cs="Trebuchet MS"/>
          <w:color w:val="000000"/>
          <w:sz w:val="24"/>
          <w:szCs w:val="24"/>
          <w:lang w:eastAsia="en-GB"/>
        </w:rPr>
        <w:t>25 requirements can be found at:</w:t>
      </w:r>
    </w:p>
    <w:p w:rsidR="00E92248" w:rsidRDefault="00E92248" w:rsidP="00ED3F3B">
      <w:pPr>
        <w:spacing w:after="0" w:line="240" w:lineRule="auto"/>
        <w:rPr>
          <w:rFonts w:eastAsia="Times New Roman" w:cs="Trebuchet MS"/>
          <w:color w:val="000000"/>
          <w:sz w:val="24"/>
          <w:szCs w:val="24"/>
          <w:lang w:eastAsia="en-GB"/>
        </w:rPr>
      </w:pPr>
    </w:p>
    <w:p w:rsidR="00ED3F3B" w:rsidRPr="00ED3F3B" w:rsidRDefault="003B1311" w:rsidP="00E92248">
      <w:pPr>
        <w:spacing w:after="0" w:line="240" w:lineRule="auto"/>
        <w:ind w:left="357"/>
        <w:rPr>
          <w:rFonts w:eastAsia="Times New Roman" w:cs="Trebuchet MS"/>
          <w:color w:val="000000"/>
          <w:sz w:val="24"/>
          <w:szCs w:val="24"/>
          <w:lang w:eastAsia="en-GB"/>
        </w:rPr>
      </w:pPr>
      <w:hyperlink r:id="rId10" w:history="1">
        <w:r w:rsidR="00ED3F3B" w:rsidRPr="00E92248">
          <w:rPr>
            <w:rStyle w:val="Hyperlink"/>
            <w:rFonts w:eastAsia="Times New Roman" w:cs="Trebuchet MS"/>
            <w:sz w:val="24"/>
            <w:szCs w:val="24"/>
            <w:lang w:eastAsia="en-GB"/>
          </w:rPr>
          <w:t>http://ec.europa.eu/regional_policy/sources/docgener/informat/2014/guidance_management_verifications_en.pdf</w:t>
        </w:r>
      </w:hyperlink>
      <w:r w:rsidR="00ED3F3B" w:rsidRPr="00ED3F3B">
        <w:rPr>
          <w:rFonts w:eastAsia="Times New Roman" w:cs="Trebuchet MS"/>
          <w:color w:val="000000"/>
          <w:sz w:val="24"/>
          <w:szCs w:val="24"/>
          <w:lang w:eastAsia="en-GB"/>
        </w:rPr>
        <w:t xml:space="preserve"> </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color w:val="000000"/>
          <w:sz w:val="24"/>
          <w:szCs w:val="24"/>
          <w:lang w:eastAsia="en-GB"/>
        </w:rPr>
        <w:t xml:space="preserve">Invoicing from consultants or non-partner delivery organisations. Does this have to be actual cost breakdown, or can they just invoice for what they are delivering?  For example if a training course has been delivered can they just invoice for that – with the invoice showing what that includes, or do they have to break it down to staff cost, room hire, refreshments etc.? </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sz w:val="24"/>
          <w:szCs w:val="24"/>
          <w:lang w:eastAsia="en-GB"/>
        </w:rPr>
      </w:pPr>
      <w:r w:rsidRPr="00ED3F3B">
        <w:rPr>
          <w:rFonts w:eastAsia="Times New Roman" w:cs="Trebuchet MS"/>
          <w:sz w:val="24"/>
          <w:szCs w:val="24"/>
          <w:lang w:eastAsia="en-GB"/>
        </w:rPr>
        <w:t>A non-partner or consultant will not be able to show actual cost on an invoice and the invoice and defrayal evidence should be sufficient. However, you do need to bear in mind value for money and procurement regulations.</w:t>
      </w:r>
    </w:p>
    <w:p w:rsidR="00ED3F3B" w:rsidRDefault="00ED3F3B" w:rsidP="00ED3F3B">
      <w:pPr>
        <w:spacing w:after="0"/>
        <w:rPr>
          <w:sz w:val="24"/>
          <w:szCs w:val="24"/>
        </w:rPr>
      </w:pPr>
    </w:p>
    <w:p w:rsidR="00E92248" w:rsidRDefault="00E92248">
      <w:pPr>
        <w:rPr>
          <w:rFonts w:eastAsia="Times New Roman" w:cs="Trebuchet MS"/>
          <w:b/>
          <w:color w:val="000000"/>
          <w:sz w:val="24"/>
          <w:szCs w:val="24"/>
          <w:lang w:eastAsia="en-GB"/>
        </w:rPr>
      </w:pPr>
      <w:r>
        <w:rPr>
          <w:rFonts w:eastAsia="Times New Roman" w:cs="Trebuchet MS"/>
          <w:b/>
          <w:color w:val="000000"/>
          <w:sz w:val="24"/>
          <w:szCs w:val="24"/>
          <w:lang w:eastAsia="en-GB"/>
        </w:rPr>
        <w:br w:type="page"/>
      </w: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color w:val="000000"/>
          <w:sz w:val="24"/>
          <w:szCs w:val="24"/>
          <w:lang w:eastAsia="en-GB"/>
        </w:rPr>
        <w:lastRenderedPageBreak/>
        <w:t>How do we claim staff costs where the employee is on a zero hours contract and does not work 100% on the project, as we do not have an annual salary amount for the 1720 calculation?</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sz w:val="24"/>
          <w:szCs w:val="24"/>
          <w:lang w:eastAsia="en-GB"/>
        </w:rPr>
      </w:pPr>
      <w:r w:rsidRPr="00ED3F3B">
        <w:rPr>
          <w:rFonts w:eastAsia="Times New Roman" w:cs="Trebuchet MS"/>
          <w:sz w:val="24"/>
          <w:szCs w:val="24"/>
          <w:lang w:eastAsia="en-GB"/>
        </w:rPr>
        <w:t>If you have an employee in this situation, please discuss with your Funding Officer.</w:t>
      </w:r>
    </w:p>
    <w:p w:rsidR="00ED3F3B" w:rsidRDefault="00ED3F3B" w:rsidP="00ED3F3B">
      <w:pPr>
        <w:spacing w:after="0"/>
        <w:rPr>
          <w:sz w:val="24"/>
          <w:szCs w:val="24"/>
        </w:rPr>
      </w:pPr>
    </w:p>
    <w:p w:rsidR="00ED3F3B" w:rsidRPr="00E92248" w:rsidRDefault="00ED3F3B" w:rsidP="00ED3F3B">
      <w:pPr>
        <w:spacing w:after="0"/>
        <w:rPr>
          <w:b/>
          <w:color w:val="EC008C"/>
          <w:sz w:val="24"/>
          <w:szCs w:val="24"/>
        </w:rPr>
      </w:pPr>
      <w:r w:rsidRPr="00E92248">
        <w:rPr>
          <w:b/>
          <w:color w:val="EC008C"/>
          <w:sz w:val="24"/>
          <w:szCs w:val="24"/>
        </w:rPr>
        <w:t>Branding and Publicity</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bCs/>
          <w:color w:val="000000"/>
          <w:sz w:val="24"/>
          <w:szCs w:val="24"/>
          <w:lang w:eastAsia="en-GB"/>
        </w:rPr>
        <w:t>Branding and publicity</w:t>
      </w:r>
      <w:r w:rsidRPr="00ED3F3B">
        <w:rPr>
          <w:rFonts w:eastAsia="Times New Roman" w:cs="Trebuchet MS"/>
          <w:b/>
          <w:color w:val="000000"/>
          <w:sz w:val="24"/>
          <w:szCs w:val="24"/>
          <w:lang w:eastAsia="en-GB"/>
        </w:rPr>
        <w:t xml:space="preserve"> – When is it acceptable to use the black and white logo? </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color w:val="000000"/>
          <w:sz w:val="24"/>
          <w:szCs w:val="24"/>
          <w:lang w:eastAsia="en-GB"/>
        </w:rPr>
      </w:pPr>
      <w:r w:rsidRPr="00ED3F3B">
        <w:rPr>
          <w:rFonts w:eastAsia="Times New Roman" w:cs="Trebuchet MS"/>
          <w:color w:val="000000"/>
          <w:sz w:val="24"/>
          <w:szCs w:val="24"/>
          <w:lang w:eastAsia="en-GB"/>
        </w:rPr>
        <w:t>Wherever possible the colour logo should be used. The black and white logo should be used sparingly and only when justified.</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color w:val="000000"/>
          <w:sz w:val="24"/>
          <w:szCs w:val="24"/>
          <w:lang w:eastAsia="en-GB"/>
        </w:rPr>
        <w:t>The BBO logo was recently changed. Are we able to continue using materials already produced using the old logo?</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color w:val="000000"/>
          <w:sz w:val="24"/>
          <w:szCs w:val="24"/>
          <w:lang w:eastAsia="en-GB"/>
        </w:rPr>
      </w:pPr>
      <w:r w:rsidRPr="00ED3F3B">
        <w:rPr>
          <w:rFonts w:eastAsia="Times New Roman" w:cs="Trebuchet MS"/>
          <w:color w:val="000000"/>
          <w:sz w:val="24"/>
          <w:szCs w:val="24"/>
          <w:lang w:eastAsia="en-GB"/>
        </w:rPr>
        <w:t>You may continue to use existing materials which contain the old logo.  New materials should be designed using the new logo.</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color w:val="000000"/>
          <w:sz w:val="24"/>
          <w:szCs w:val="24"/>
          <w:lang w:eastAsia="en-GB"/>
        </w:rPr>
        <w:t>What logos should be used on email signatures if a staff member is funded by more than one organisation?</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color w:val="000000"/>
          <w:sz w:val="24"/>
          <w:szCs w:val="24"/>
          <w:lang w:eastAsia="en-GB"/>
        </w:rPr>
      </w:pPr>
      <w:r w:rsidRPr="00ED3F3B">
        <w:rPr>
          <w:rFonts w:eastAsia="Times New Roman" w:cs="Trebuchet MS"/>
          <w:color w:val="000000"/>
          <w:sz w:val="24"/>
          <w:szCs w:val="24"/>
          <w:lang w:eastAsia="en-GB"/>
        </w:rPr>
        <w:t>It will be acceptable for your email signature to include extra logos, in addition to that required for BBO, in these circumstances.</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color w:val="000000"/>
          <w:sz w:val="24"/>
          <w:szCs w:val="24"/>
          <w:lang w:eastAsia="en-GB"/>
        </w:rPr>
        <w:t>Can the BBO and ESF composite logo be split up into two separate logos?</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color w:val="000000"/>
          <w:sz w:val="24"/>
          <w:szCs w:val="24"/>
          <w:lang w:eastAsia="en-GB"/>
        </w:rPr>
      </w:pPr>
      <w:r w:rsidRPr="00ED3F3B">
        <w:rPr>
          <w:rFonts w:eastAsia="Times New Roman" w:cs="Trebuchet MS"/>
          <w:color w:val="000000"/>
          <w:sz w:val="24"/>
          <w:szCs w:val="24"/>
          <w:lang w:eastAsia="en-GB"/>
        </w:rPr>
        <w:t>No, the composite logo should not be split.</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color w:val="000000"/>
          <w:sz w:val="24"/>
          <w:szCs w:val="24"/>
          <w:lang w:eastAsia="en-GB"/>
        </w:rPr>
        <w:t>What frequency should grant holders post updates on Twitter/Facebook?</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color w:val="000000"/>
          <w:sz w:val="24"/>
          <w:szCs w:val="24"/>
          <w:lang w:eastAsia="en-GB"/>
        </w:rPr>
      </w:pPr>
      <w:r w:rsidRPr="00ED3F3B">
        <w:rPr>
          <w:rFonts w:eastAsia="Times New Roman" w:cs="Trebuchet MS"/>
          <w:color w:val="000000"/>
          <w:sz w:val="24"/>
          <w:szCs w:val="24"/>
          <w:lang w:eastAsia="en-GB"/>
        </w:rPr>
        <w:t xml:space="preserve">It is for grant holders to decide on the frequency of posts publicising their project.  You must include the BBO logo in all social media posts about your project. </w:t>
      </w:r>
    </w:p>
    <w:p w:rsidR="00ED3F3B" w:rsidRDefault="00ED3F3B" w:rsidP="00ED3F3B">
      <w:pPr>
        <w:spacing w:after="0"/>
        <w:rPr>
          <w:sz w:val="24"/>
          <w:szCs w:val="24"/>
        </w:rPr>
      </w:pPr>
    </w:p>
    <w:p w:rsidR="00ED3F3B" w:rsidRPr="00E92248" w:rsidRDefault="00ED3F3B" w:rsidP="00ED3F3B">
      <w:pPr>
        <w:spacing w:after="0"/>
        <w:rPr>
          <w:b/>
          <w:color w:val="EC008C"/>
          <w:sz w:val="24"/>
          <w:szCs w:val="24"/>
        </w:rPr>
      </w:pPr>
      <w:r w:rsidRPr="00E92248">
        <w:rPr>
          <w:b/>
          <w:color w:val="EC008C"/>
          <w:sz w:val="24"/>
          <w:szCs w:val="24"/>
        </w:rPr>
        <w:t>Annexes</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color w:val="000000"/>
          <w:sz w:val="24"/>
          <w:szCs w:val="24"/>
          <w:lang w:eastAsia="en-GB"/>
        </w:rPr>
        <w:t>Are there any plans to provide a version of Annex L that could be used within a grant holder's database, enabling a report to be run each quarter and avoiding significant data input?</w:t>
      </w:r>
    </w:p>
    <w:p w:rsidR="00ED3F3B" w:rsidRDefault="00ED3F3B" w:rsidP="00ED3F3B">
      <w:pPr>
        <w:spacing w:after="0"/>
        <w:rPr>
          <w:sz w:val="24"/>
          <w:szCs w:val="24"/>
        </w:rPr>
      </w:pPr>
    </w:p>
    <w:p w:rsidR="00E92248" w:rsidRDefault="00ED3F3B" w:rsidP="00ED3F3B">
      <w:pPr>
        <w:spacing w:after="0" w:line="240" w:lineRule="auto"/>
        <w:rPr>
          <w:rFonts w:eastAsia="Times New Roman" w:cs="Trebuchet MS"/>
          <w:color w:val="000000"/>
          <w:sz w:val="24"/>
          <w:szCs w:val="24"/>
          <w:lang w:eastAsia="en-GB"/>
        </w:rPr>
      </w:pPr>
      <w:r w:rsidRPr="00ED3F3B">
        <w:rPr>
          <w:rFonts w:eastAsia="Times New Roman" w:cs="Trebuchet MS"/>
          <w:color w:val="000000"/>
          <w:sz w:val="24"/>
          <w:szCs w:val="24"/>
          <w:lang w:eastAsia="en-GB"/>
        </w:rPr>
        <w:t>There are no plans to revise Annex L at this time.  The current version of Annex L included the following updates:</w:t>
      </w:r>
      <w:r w:rsidRPr="00ED3F3B">
        <w:rPr>
          <w:rFonts w:eastAsia="Times New Roman" w:cs="Trebuchet MS"/>
          <w:color w:val="000000"/>
          <w:sz w:val="24"/>
          <w:szCs w:val="24"/>
          <w:lang w:eastAsia="en-GB"/>
        </w:rPr>
        <w:br/>
      </w:r>
    </w:p>
    <w:p w:rsidR="00E92248" w:rsidRPr="00E92248" w:rsidRDefault="00ED3F3B" w:rsidP="00E92248">
      <w:pPr>
        <w:pStyle w:val="ListParagraph"/>
        <w:numPr>
          <w:ilvl w:val="0"/>
          <w:numId w:val="2"/>
        </w:numPr>
        <w:spacing w:after="0" w:line="240" w:lineRule="auto"/>
        <w:ind w:left="357" w:hanging="357"/>
        <w:rPr>
          <w:rFonts w:eastAsia="Times New Roman" w:cs="Trebuchet MS"/>
          <w:color w:val="000000"/>
          <w:sz w:val="24"/>
          <w:szCs w:val="24"/>
          <w:lang w:eastAsia="en-GB"/>
        </w:rPr>
      </w:pPr>
      <w:r w:rsidRPr="00E92248">
        <w:rPr>
          <w:rFonts w:eastAsia="Times New Roman" w:cs="Trebuchet MS"/>
          <w:color w:val="000000"/>
          <w:sz w:val="24"/>
          <w:szCs w:val="24"/>
          <w:lang w:eastAsia="en-GB"/>
        </w:rPr>
        <w:t>All of the manual entry fields are now included on the same sheet rather than spread across three sheets</w:t>
      </w:r>
    </w:p>
    <w:p w:rsidR="00E92248" w:rsidRPr="00E92248" w:rsidRDefault="00ED3F3B" w:rsidP="00E92248">
      <w:pPr>
        <w:pStyle w:val="ListParagraph"/>
        <w:numPr>
          <w:ilvl w:val="0"/>
          <w:numId w:val="2"/>
        </w:numPr>
        <w:spacing w:after="0" w:line="240" w:lineRule="auto"/>
        <w:ind w:left="357" w:hanging="357"/>
        <w:rPr>
          <w:rFonts w:eastAsia="Times New Roman" w:cs="Trebuchet MS"/>
          <w:color w:val="000000"/>
          <w:sz w:val="24"/>
          <w:szCs w:val="24"/>
          <w:lang w:eastAsia="en-GB"/>
        </w:rPr>
      </w:pPr>
      <w:r w:rsidRPr="00E92248">
        <w:rPr>
          <w:rFonts w:eastAsia="Times New Roman" w:cs="Trebuchet MS"/>
          <w:color w:val="000000"/>
          <w:sz w:val="24"/>
          <w:szCs w:val="24"/>
          <w:lang w:eastAsia="en-GB"/>
        </w:rPr>
        <w:t>The fields have been re-ordered to better match Annex H making it easier to transpose the information from the forms the spreadsheet</w:t>
      </w:r>
    </w:p>
    <w:p w:rsidR="00E92248" w:rsidRPr="00E92248" w:rsidRDefault="00ED3F3B" w:rsidP="00E92248">
      <w:pPr>
        <w:pStyle w:val="ListParagraph"/>
        <w:numPr>
          <w:ilvl w:val="0"/>
          <w:numId w:val="2"/>
        </w:numPr>
        <w:spacing w:after="0" w:line="240" w:lineRule="auto"/>
        <w:ind w:left="357" w:hanging="357"/>
        <w:rPr>
          <w:rFonts w:eastAsia="Times New Roman" w:cs="Trebuchet MS"/>
          <w:color w:val="000000"/>
          <w:sz w:val="24"/>
          <w:szCs w:val="24"/>
          <w:lang w:eastAsia="en-GB"/>
        </w:rPr>
      </w:pPr>
      <w:r w:rsidRPr="00E92248">
        <w:rPr>
          <w:rFonts w:eastAsia="Times New Roman" w:cs="Trebuchet MS"/>
          <w:color w:val="000000"/>
          <w:sz w:val="24"/>
          <w:szCs w:val="24"/>
          <w:lang w:eastAsia="en-GB"/>
        </w:rPr>
        <w:lastRenderedPageBreak/>
        <w:t>There is a filter function on the front sheet that allows selection of the time period to show the data for different quarters</w:t>
      </w:r>
    </w:p>
    <w:p w:rsidR="00E92248" w:rsidRPr="00E92248" w:rsidRDefault="00ED3F3B" w:rsidP="00E92248">
      <w:pPr>
        <w:pStyle w:val="ListParagraph"/>
        <w:numPr>
          <w:ilvl w:val="0"/>
          <w:numId w:val="2"/>
        </w:numPr>
        <w:spacing w:after="0" w:line="240" w:lineRule="auto"/>
        <w:ind w:left="357" w:hanging="357"/>
        <w:rPr>
          <w:rFonts w:eastAsia="Times New Roman" w:cs="Trebuchet MS"/>
          <w:color w:val="000000"/>
          <w:sz w:val="24"/>
          <w:szCs w:val="24"/>
          <w:lang w:eastAsia="en-GB"/>
        </w:rPr>
      </w:pPr>
      <w:r w:rsidRPr="00E92248">
        <w:rPr>
          <w:rFonts w:eastAsia="Times New Roman" w:cs="Trebuchet MS"/>
          <w:color w:val="000000"/>
          <w:sz w:val="24"/>
          <w:szCs w:val="24"/>
          <w:lang w:eastAsia="en-GB"/>
        </w:rPr>
        <w:t>Grant Holders will be able to copy and paste between partner versions of the spreadsheet to ease aggregation</w:t>
      </w:r>
    </w:p>
    <w:p w:rsidR="00E92248" w:rsidRPr="00E92248" w:rsidRDefault="00ED3F3B" w:rsidP="00E92248">
      <w:pPr>
        <w:pStyle w:val="ListParagraph"/>
        <w:numPr>
          <w:ilvl w:val="0"/>
          <w:numId w:val="2"/>
        </w:numPr>
        <w:spacing w:after="0" w:line="240" w:lineRule="auto"/>
        <w:ind w:left="357" w:hanging="357"/>
        <w:rPr>
          <w:rFonts w:eastAsia="Times New Roman" w:cs="Trebuchet MS"/>
          <w:color w:val="000000"/>
          <w:sz w:val="24"/>
          <w:szCs w:val="24"/>
          <w:lang w:eastAsia="en-GB"/>
        </w:rPr>
      </w:pPr>
      <w:r w:rsidRPr="00E92248">
        <w:rPr>
          <w:rFonts w:eastAsia="Times New Roman" w:cs="Trebuchet MS"/>
          <w:color w:val="000000"/>
          <w:sz w:val="24"/>
          <w:szCs w:val="24"/>
          <w:lang w:eastAsia="en-GB"/>
        </w:rPr>
        <w:t>Leads with a dedicated MIS should be able to export data to excel and paste it in, the data schema provided will help developers understand the requirements for each field</w:t>
      </w:r>
    </w:p>
    <w:p w:rsidR="00E92248" w:rsidRPr="00E92248" w:rsidRDefault="00ED3F3B" w:rsidP="00E92248">
      <w:pPr>
        <w:pStyle w:val="ListParagraph"/>
        <w:numPr>
          <w:ilvl w:val="0"/>
          <w:numId w:val="2"/>
        </w:numPr>
        <w:spacing w:after="0" w:line="240" w:lineRule="auto"/>
        <w:ind w:left="357" w:hanging="357"/>
        <w:rPr>
          <w:rFonts w:eastAsia="Times New Roman" w:cs="Trebuchet MS"/>
          <w:color w:val="000000"/>
          <w:sz w:val="24"/>
          <w:szCs w:val="24"/>
          <w:lang w:eastAsia="en-GB"/>
        </w:rPr>
      </w:pPr>
      <w:r w:rsidRPr="00E92248">
        <w:rPr>
          <w:rFonts w:eastAsia="Times New Roman" w:cs="Trebuchet MS"/>
          <w:color w:val="000000"/>
          <w:sz w:val="24"/>
          <w:szCs w:val="24"/>
          <w:lang w:eastAsia="en-GB"/>
        </w:rPr>
        <w:t>Alerts to show errors with the data are more visible and have clearer explanations</w:t>
      </w:r>
    </w:p>
    <w:p w:rsidR="00E92248" w:rsidRPr="00E92248" w:rsidRDefault="00ED3F3B" w:rsidP="00E92248">
      <w:pPr>
        <w:pStyle w:val="ListParagraph"/>
        <w:numPr>
          <w:ilvl w:val="0"/>
          <w:numId w:val="2"/>
        </w:numPr>
        <w:spacing w:after="0" w:line="240" w:lineRule="auto"/>
        <w:ind w:left="357" w:hanging="357"/>
        <w:rPr>
          <w:rFonts w:eastAsia="Times New Roman" w:cs="Trebuchet MS"/>
          <w:color w:val="000000"/>
          <w:sz w:val="24"/>
          <w:szCs w:val="24"/>
          <w:lang w:eastAsia="en-GB"/>
        </w:rPr>
      </w:pPr>
      <w:r w:rsidRPr="00E92248">
        <w:rPr>
          <w:rFonts w:eastAsia="Times New Roman" w:cs="Trebuchet MS"/>
          <w:color w:val="000000"/>
          <w:sz w:val="24"/>
          <w:szCs w:val="24"/>
          <w:lang w:eastAsia="en-GB"/>
        </w:rPr>
        <w:t>A warning message will appear on the summary page if any data is missing or if there are any invalid combinations of answers included in the data.</w:t>
      </w:r>
    </w:p>
    <w:p w:rsidR="00E92248" w:rsidRPr="00E92248" w:rsidRDefault="00ED3F3B" w:rsidP="00E92248">
      <w:pPr>
        <w:pStyle w:val="ListParagraph"/>
        <w:numPr>
          <w:ilvl w:val="0"/>
          <w:numId w:val="2"/>
        </w:numPr>
        <w:spacing w:after="0" w:line="240" w:lineRule="auto"/>
        <w:ind w:left="357" w:hanging="357"/>
        <w:rPr>
          <w:rFonts w:eastAsia="Times New Roman" w:cs="Trebuchet MS"/>
          <w:color w:val="000000"/>
          <w:sz w:val="24"/>
          <w:szCs w:val="24"/>
          <w:lang w:eastAsia="en-GB"/>
        </w:rPr>
      </w:pPr>
      <w:r w:rsidRPr="00E92248">
        <w:rPr>
          <w:rFonts w:eastAsia="Times New Roman" w:cs="Trebuchet MS"/>
          <w:color w:val="000000"/>
          <w:sz w:val="24"/>
          <w:szCs w:val="24"/>
          <w:lang w:eastAsia="en-GB"/>
        </w:rPr>
        <w:t>New ‘question not answered’ options available to align with the Managing Authority’s data schema.</w:t>
      </w:r>
    </w:p>
    <w:p w:rsidR="00ED3F3B" w:rsidRPr="00E92248" w:rsidRDefault="00ED3F3B" w:rsidP="00E92248">
      <w:pPr>
        <w:pStyle w:val="ListParagraph"/>
        <w:numPr>
          <w:ilvl w:val="0"/>
          <w:numId w:val="2"/>
        </w:numPr>
        <w:spacing w:after="0" w:line="240" w:lineRule="auto"/>
        <w:ind w:left="357" w:hanging="357"/>
        <w:rPr>
          <w:rFonts w:eastAsia="Times New Roman" w:cs="Trebuchet MS"/>
          <w:color w:val="000000"/>
          <w:sz w:val="24"/>
          <w:szCs w:val="24"/>
          <w:lang w:eastAsia="en-GB"/>
        </w:rPr>
      </w:pPr>
      <w:r w:rsidRPr="00E92248">
        <w:rPr>
          <w:rFonts w:eastAsia="Times New Roman" w:cs="Trebuchet MS"/>
          <w:color w:val="000000"/>
          <w:sz w:val="24"/>
          <w:szCs w:val="24"/>
          <w:lang w:eastAsia="en-GB"/>
        </w:rPr>
        <w:t>Some results are now auto-calculated based on the employment status.</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color w:val="000000"/>
          <w:sz w:val="24"/>
          <w:szCs w:val="24"/>
          <w:lang w:eastAsia="en-GB"/>
        </w:rPr>
        <w:t>Why have there been so many changes to annexes?</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color w:val="000000"/>
          <w:sz w:val="24"/>
          <w:szCs w:val="24"/>
          <w:lang w:eastAsia="en-GB"/>
        </w:rPr>
      </w:pPr>
      <w:r w:rsidRPr="00ED3F3B">
        <w:rPr>
          <w:rFonts w:eastAsia="Times New Roman" w:cs="Trebuchet MS"/>
          <w:color w:val="000000"/>
          <w:sz w:val="24"/>
          <w:szCs w:val="24"/>
          <w:lang w:eastAsia="en-GB"/>
        </w:rPr>
        <w:t>Annexes have been updated in response to feedback received from grant holders and also to address issues identified. The programme is now more settled with changes expected to be much less frequent.</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color w:val="000000"/>
          <w:sz w:val="24"/>
          <w:szCs w:val="24"/>
          <w:lang w:eastAsia="en-GB"/>
        </w:rPr>
        <w:t>Would it be possible for the Annex I to be re-designed to ask for more information than it currently does in order to encourage partners to include more detail in their evidencing of progress?</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sz w:val="24"/>
          <w:szCs w:val="24"/>
          <w:lang w:eastAsia="en-GB"/>
        </w:rPr>
      </w:pPr>
      <w:r w:rsidRPr="00ED3F3B">
        <w:rPr>
          <w:rFonts w:eastAsia="Times New Roman" w:cs="Trebuchet MS"/>
          <w:sz w:val="24"/>
          <w:szCs w:val="24"/>
          <w:lang w:eastAsia="en-GB"/>
        </w:rPr>
        <w:t>We have no plans to revise Annex I in this way.  Whilst entries on Annex I should record sufficient detail about how activities undertaken are helping the participant address their development needs it is not viewed in isolation and grant holders are required to retain separate evidence of progress, for example attendance sheets, course notes, submitted work and certificates of completion.  It is a requirement to retain such evidence in addition to Annex I.</w:t>
      </w:r>
    </w:p>
    <w:p w:rsidR="00ED3F3B" w:rsidRDefault="00ED3F3B" w:rsidP="00ED3F3B">
      <w:pPr>
        <w:spacing w:after="0"/>
        <w:rPr>
          <w:sz w:val="24"/>
          <w:szCs w:val="24"/>
        </w:rPr>
      </w:pPr>
    </w:p>
    <w:p w:rsidR="00ED3F3B" w:rsidRPr="00E92248" w:rsidRDefault="00ED3F3B" w:rsidP="00ED3F3B">
      <w:pPr>
        <w:spacing w:after="0"/>
        <w:rPr>
          <w:b/>
          <w:color w:val="EC008C"/>
          <w:sz w:val="24"/>
          <w:szCs w:val="24"/>
        </w:rPr>
      </w:pPr>
      <w:r w:rsidRPr="00E92248">
        <w:rPr>
          <w:b/>
          <w:color w:val="EC008C"/>
          <w:sz w:val="24"/>
          <w:szCs w:val="24"/>
        </w:rPr>
        <w:t>Partnership Working</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color w:val="000000"/>
          <w:sz w:val="24"/>
          <w:szCs w:val="24"/>
          <w:lang w:eastAsia="en-GB"/>
        </w:rPr>
        <w:t>Leads are struggling with the ‘differing levels of professionalism and quality’ among partners.</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color w:val="000000"/>
          <w:sz w:val="24"/>
          <w:szCs w:val="24"/>
          <w:lang w:eastAsia="en-GB"/>
        </w:rPr>
      </w:pPr>
      <w:r w:rsidRPr="00ED3F3B">
        <w:rPr>
          <w:rFonts w:eastAsia="Times New Roman" w:cs="Trebuchet MS"/>
          <w:color w:val="000000"/>
          <w:sz w:val="24"/>
          <w:szCs w:val="24"/>
          <w:lang w:eastAsia="en-GB"/>
        </w:rPr>
        <w:t>Lead organisation do need to take the lead and consider giving a lot of extra support to partners where needed. Networking may be used to share best practice etc.</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color w:val="000000"/>
          <w:sz w:val="24"/>
          <w:szCs w:val="24"/>
          <w:lang w:eastAsia="en-GB"/>
        </w:rPr>
        <w:t>What is the best way to do communications with partners?</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color w:val="000000"/>
          <w:sz w:val="24"/>
          <w:szCs w:val="24"/>
          <w:lang w:eastAsia="en-GB"/>
        </w:rPr>
      </w:pPr>
      <w:r w:rsidRPr="00ED3F3B">
        <w:rPr>
          <w:rFonts w:eastAsia="Times New Roman" w:cs="Trebuchet MS"/>
          <w:color w:val="000000"/>
          <w:sz w:val="24"/>
          <w:szCs w:val="24"/>
          <w:lang w:eastAsia="en-GB"/>
        </w:rPr>
        <w:t>You should consider on-going constant communication with your partners making use of all channels available to you.</w:t>
      </w:r>
    </w:p>
    <w:p w:rsidR="00ED3F3B" w:rsidRDefault="00ED3F3B" w:rsidP="00ED3F3B">
      <w:pPr>
        <w:spacing w:after="0"/>
        <w:rPr>
          <w:sz w:val="24"/>
          <w:szCs w:val="24"/>
        </w:rPr>
      </w:pPr>
    </w:p>
    <w:p w:rsidR="00E92248" w:rsidRDefault="00E92248">
      <w:pPr>
        <w:rPr>
          <w:rFonts w:eastAsia="Times New Roman" w:cs="Trebuchet MS"/>
          <w:b/>
          <w:color w:val="000000"/>
          <w:sz w:val="24"/>
          <w:szCs w:val="24"/>
          <w:lang w:eastAsia="en-GB"/>
        </w:rPr>
      </w:pPr>
      <w:r>
        <w:rPr>
          <w:rFonts w:eastAsia="Times New Roman" w:cs="Trebuchet MS"/>
          <w:b/>
          <w:color w:val="000000"/>
          <w:sz w:val="24"/>
          <w:szCs w:val="24"/>
          <w:lang w:eastAsia="en-GB"/>
        </w:rPr>
        <w:br w:type="page"/>
      </w: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color w:val="000000"/>
          <w:sz w:val="24"/>
          <w:szCs w:val="24"/>
          <w:lang w:eastAsia="en-GB"/>
        </w:rPr>
        <w:lastRenderedPageBreak/>
        <w:t>What is the best way to absorb staff changes?</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color w:val="000000"/>
          <w:sz w:val="24"/>
          <w:szCs w:val="24"/>
          <w:lang w:eastAsia="en-GB"/>
        </w:rPr>
      </w:pPr>
      <w:r w:rsidRPr="00ED3F3B">
        <w:rPr>
          <w:rFonts w:eastAsia="Times New Roman" w:cs="Trebuchet MS"/>
          <w:color w:val="000000"/>
          <w:sz w:val="24"/>
          <w:szCs w:val="24"/>
          <w:lang w:eastAsia="en-GB"/>
        </w:rPr>
        <w:t>Staff changes should be absorbed by re-</w:t>
      </w:r>
      <w:r w:rsidR="00E92248">
        <w:rPr>
          <w:rFonts w:eastAsia="Times New Roman" w:cs="Trebuchet MS"/>
          <w:color w:val="000000"/>
          <w:sz w:val="24"/>
          <w:szCs w:val="24"/>
          <w:lang w:eastAsia="en-GB"/>
        </w:rPr>
        <w:t>profiling</w:t>
      </w:r>
      <w:r w:rsidRPr="00ED3F3B">
        <w:rPr>
          <w:rFonts w:eastAsia="Times New Roman" w:cs="Trebuchet MS"/>
          <w:color w:val="000000"/>
          <w:sz w:val="24"/>
          <w:szCs w:val="24"/>
          <w:lang w:eastAsia="en-GB"/>
        </w:rPr>
        <w:t xml:space="preserve"> your grant forecast, ensuring that your partners are doing the same. </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color w:val="000000"/>
          <w:sz w:val="24"/>
          <w:szCs w:val="24"/>
          <w:lang w:eastAsia="en-GB"/>
        </w:rPr>
        <w:t>What's the best way to manage participant exit?</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color w:val="000000"/>
          <w:sz w:val="24"/>
          <w:szCs w:val="24"/>
          <w:lang w:eastAsia="en-GB"/>
        </w:rPr>
      </w:pPr>
      <w:r w:rsidRPr="00ED3F3B">
        <w:rPr>
          <w:rFonts w:eastAsia="Times New Roman" w:cs="Trebuchet MS"/>
          <w:color w:val="000000"/>
          <w:sz w:val="24"/>
          <w:szCs w:val="24"/>
          <w:lang w:eastAsia="en-GB"/>
        </w:rPr>
        <w:t>To ensure the partnership make the decisions about participant exit together it was suggested the partner should discuss a recommendation to exit with the lead.</w:t>
      </w:r>
    </w:p>
    <w:p w:rsidR="00ED3F3B" w:rsidRDefault="00ED3F3B" w:rsidP="00ED3F3B">
      <w:pPr>
        <w:spacing w:after="0"/>
        <w:rPr>
          <w:sz w:val="24"/>
          <w:szCs w:val="24"/>
        </w:rPr>
      </w:pPr>
    </w:p>
    <w:p w:rsidR="00ED3F3B" w:rsidRPr="00E92248" w:rsidRDefault="00ED3F3B" w:rsidP="00ED3F3B">
      <w:pPr>
        <w:spacing w:after="0"/>
        <w:rPr>
          <w:b/>
          <w:color w:val="EC008C"/>
          <w:sz w:val="24"/>
          <w:szCs w:val="24"/>
        </w:rPr>
      </w:pPr>
      <w:r w:rsidRPr="00E92248">
        <w:rPr>
          <w:b/>
          <w:color w:val="EC008C"/>
          <w:sz w:val="24"/>
          <w:szCs w:val="24"/>
        </w:rPr>
        <w:t>Other</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color w:val="000000"/>
          <w:sz w:val="24"/>
          <w:szCs w:val="24"/>
          <w:lang w:eastAsia="en-GB"/>
        </w:rPr>
        <w:t>Will BLF be coordinating/facilitating LEP networks and regular LEP meetings?</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color w:val="000000"/>
          <w:sz w:val="24"/>
          <w:szCs w:val="24"/>
          <w:lang w:eastAsia="en-GB"/>
        </w:rPr>
      </w:pPr>
      <w:r w:rsidRPr="00ED3F3B">
        <w:rPr>
          <w:rFonts w:eastAsia="Times New Roman" w:cs="Trebuchet MS"/>
          <w:color w:val="000000"/>
          <w:sz w:val="24"/>
          <w:szCs w:val="24"/>
          <w:lang w:eastAsia="en-GB"/>
        </w:rPr>
        <w:t>Whilst we recognise that such networks would be useful, we would expect grant holders to take ownership of organising and managing those networks.</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color w:val="000000"/>
          <w:sz w:val="24"/>
          <w:szCs w:val="24"/>
          <w:lang w:eastAsia="en-GB"/>
        </w:rPr>
        <w:t>Are there any plans to hold an event on cross cutting themes?</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sz w:val="24"/>
          <w:szCs w:val="24"/>
          <w:lang w:eastAsia="en-GB"/>
        </w:rPr>
      </w:pPr>
      <w:r w:rsidRPr="00ED3F3B">
        <w:rPr>
          <w:rFonts w:eastAsia="Times New Roman" w:cs="Trebuchet MS"/>
          <w:sz w:val="24"/>
          <w:szCs w:val="24"/>
          <w:lang w:eastAsia="en-GB"/>
        </w:rPr>
        <w:t xml:space="preserve">We are considering holding an event on this topic. </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color w:val="000000"/>
          <w:sz w:val="24"/>
          <w:szCs w:val="24"/>
          <w:lang w:eastAsia="en-GB"/>
        </w:rPr>
        <w:t>When and at what regularity will the BBO newsletter be released?</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sz w:val="24"/>
          <w:szCs w:val="24"/>
          <w:lang w:eastAsia="en-GB"/>
        </w:rPr>
      </w:pPr>
      <w:r w:rsidRPr="00ED3F3B">
        <w:rPr>
          <w:rFonts w:eastAsia="Times New Roman" w:cs="Trebuchet MS"/>
          <w:sz w:val="24"/>
          <w:szCs w:val="24"/>
          <w:lang w:eastAsia="en-GB"/>
        </w:rPr>
        <w:t xml:space="preserve">The BBO newsletter is </w:t>
      </w:r>
      <w:r w:rsidR="00E32AB4">
        <w:rPr>
          <w:rFonts w:eastAsia="Times New Roman" w:cs="Trebuchet MS"/>
          <w:sz w:val="24"/>
          <w:szCs w:val="24"/>
          <w:lang w:eastAsia="en-GB"/>
        </w:rPr>
        <w:t>will be issued quarterly</w:t>
      </w:r>
      <w:r w:rsidRPr="00ED3F3B">
        <w:rPr>
          <w:rFonts w:eastAsia="Times New Roman" w:cs="Trebuchet MS"/>
          <w:sz w:val="24"/>
          <w:szCs w:val="24"/>
          <w:lang w:eastAsia="en-GB"/>
        </w:rPr>
        <w:t>.</w:t>
      </w:r>
      <w:r w:rsidR="00E32AB4">
        <w:rPr>
          <w:rFonts w:eastAsia="Times New Roman" w:cs="Trebuchet MS"/>
          <w:sz w:val="24"/>
          <w:szCs w:val="24"/>
          <w:lang w:eastAsia="en-GB"/>
        </w:rPr>
        <w:t xml:space="preserve"> Any urgent items in-between will be issued in the form of a news flash to grant holders</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b/>
          <w:color w:val="000000"/>
          <w:sz w:val="24"/>
          <w:szCs w:val="24"/>
          <w:lang w:eastAsia="en-GB"/>
        </w:rPr>
      </w:pPr>
      <w:r w:rsidRPr="00ED3F3B">
        <w:rPr>
          <w:rFonts w:eastAsia="Times New Roman" w:cs="Trebuchet MS"/>
          <w:b/>
          <w:color w:val="000000"/>
          <w:sz w:val="24"/>
          <w:szCs w:val="24"/>
          <w:lang w:eastAsia="en-GB"/>
        </w:rPr>
        <w:t>What's being done to identify the smaller project awards, and smaller Leads and to give them more support?</w:t>
      </w:r>
    </w:p>
    <w:p w:rsidR="00ED3F3B" w:rsidRDefault="00ED3F3B" w:rsidP="00ED3F3B">
      <w:pPr>
        <w:spacing w:after="0"/>
        <w:rPr>
          <w:sz w:val="24"/>
          <w:szCs w:val="24"/>
        </w:rPr>
      </w:pPr>
    </w:p>
    <w:p w:rsidR="00ED3F3B" w:rsidRPr="00ED3F3B" w:rsidRDefault="00ED3F3B" w:rsidP="00ED3F3B">
      <w:pPr>
        <w:spacing w:after="0" w:line="240" w:lineRule="auto"/>
        <w:rPr>
          <w:rFonts w:eastAsia="Times New Roman" w:cs="Trebuchet MS"/>
          <w:sz w:val="24"/>
          <w:szCs w:val="24"/>
          <w:lang w:eastAsia="en-GB"/>
        </w:rPr>
      </w:pPr>
      <w:r w:rsidRPr="00ED3F3B">
        <w:rPr>
          <w:rFonts w:eastAsia="Times New Roman" w:cs="Trebuchet MS"/>
          <w:sz w:val="24"/>
          <w:szCs w:val="24"/>
          <w:lang w:eastAsia="en-GB"/>
        </w:rPr>
        <w:t>Our BBO ESF Support team provides support on working under ESF rules and regulations including eligibility, actual costs, record-keeping, data reporting, publicity and cross-cutting themes for the Building Better Opportunities (BBO) programme. This is to increase capability to handle European funds, both for the current BBO programme and in the future.</w:t>
      </w:r>
      <w:r w:rsidRPr="00ED3F3B">
        <w:rPr>
          <w:rFonts w:eastAsia="Times New Roman" w:cs="Trebuchet MS"/>
          <w:sz w:val="24"/>
          <w:szCs w:val="24"/>
          <w:lang w:eastAsia="en-GB"/>
        </w:rPr>
        <w:br/>
      </w:r>
      <w:r w:rsidRPr="00ED3F3B">
        <w:rPr>
          <w:rFonts w:eastAsia="Times New Roman" w:cs="Trebuchet MS"/>
          <w:sz w:val="24"/>
          <w:szCs w:val="24"/>
          <w:lang w:eastAsia="en-GB"/>
        </w:rPr>
        <w:br/>
        <w:t>If you feel you need additional support, over that already provided, please discuss that with your Funding Officer.</w:t>
      </w:r>
    </w:p>
    <w:p w:rsidR="00ED3F3B" w:rsidRDefault="00ED3F3B" w:rsidP="00ED3F3B">
      <w:pPr>
        <w:spacing w:after="0"/>
        <w:rPr>
          <w:sz w:val="24"/>
          <w:szCs w:val="24"/>
        </w:rPr>
      </w:pPr>
    </w:p>
    <w:p w:rsidR="00CD3C88" w:rsidRPr="00BD563F" w:rsidRDefault="00CD3C88" w:rsidP="00ED3F3B">
      <w:pPr>
        <w:spacing w:after="0"/>
        <w:rPr>
          <w:sz w:val="24"/>
          <w:szCs w:val="24"/>
        </w:rPr>
      </w:pPr>
    </w:p>
    <w:sectPr w:rsidR="00CD3C88" w:rsidRPr="00BD563F" w:rsidSect="00AB7A31">
      <w:headerReference w:type="default" r:id="rId11"/>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A31" w:rsidRDefault="00AB7A31" w:rsidP="00AB7A31">
      <w:pPr>
        <w:spacing w:after="0" w:line="240" w:lineRule="auto"/>
      </w:pPr>
      <w:r>
        <w:separator/>
      </w:r>
    </w:p>
  </w:endnote>
  <w:endnote w:type="continuationSeparator" w:id="0">
    <w:p w:rsidR="00AB7A31" w:rsidRDefault="00AB7A31" w:rsidP="00AB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A31" w:rsidRDefault="00AB7A31" w:rsidP="00AB7A31">
      <w:pPr>
        <w:spacing w:after="0" w:line="240" w:lineRule="auto"/>
      </w:pPr>
      <w:r>
        <w:separator/>
      </w:r>
    </w:p>
  </w:footnote>
  <w:footnote w:type="continuationSeparator" w:id="0">
    <w:p w:rsidR="00AB7A31" w:rsidRDefault="00AB7A31" w:rsidP="00AB7A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A31" w:rsidRDefault="00AB7A31" w:rsidP="00AB7A31">
    <w:pPr>
      <w:pStyle w:val="Header"/>
      <w:jc w:val="right"/>
    </w:pPr>
    <w:r>
      <w:rPr>
        <w:noProof/>
        <w:lang w:eastAsia="en-GB"/>
      </w:rPr>
      <w:drawing>
        <wp:inline distT="0" distB="0" distL="0" distR="0" wp14:anchorId="074C7D9B" wp14:editId="1C7B4661">
          <wp:extent cx="2058975" cy="1172092"/>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O-grantholder-lock-u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0477" cy="119002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F3B" w:rsidRDefault="00ED3F3B" w:rsidP="00AB7A3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146B"/>
    <w:multiLevelType w:val="hybridMultilevel"/>
    <w:tmpl w:val="0A1414F4"/>
    <w:lvl w:ilvl="0" w:tplc="028ADB42">
      <w:numFmt w:val="bullet"/>
      <w:lvlText w:val="•"/>
      <w:lvlJc w:val="left"/>
      <w:pPr>
        <w:ind w:left="720" w:hanging="360"/>
      </w:pPr>
      <w:rPr>
        <w:rFonts w:ascii="Trebuchet MS" w:eastAsia="Times New Roman"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67AAF"/>
    <w:multiLevelType w:val="hybridMultilevel"/>
    <w:tmpl w:val="A6967310"/>
    <w:lvl w:ilvl="0" w:tplc="028ADB42">
      <w:numFmt w:val="bullet"/>
      <w:lvlText w:val="•"/>
      <w:lvlJc w:val="left"/>
      <w:pPr>
        <w:ind w:left="720" w:hanging="360"/>
      </w:pPr>
      <w:rPr>
        <w:rFonts w:ascii="Trebuchet MS" w:eastAsia="Times New Roman"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10B09"/>
    <w:multiLevelType w:val="hybridMultilevel"/>
    <w:tmpl w:val="3550AF3E"/>
    <w:lvl w:ilvl="0" w:tplc="028ADB42">
      <w:numFmt w:val="bullet"/>
      <w:lvlText w:val="•"/>
      <w:lvlJc w:val="left"/>
      <w:pPr>
        <w:ind w:left="720" w:hanging="360"/>
      </w:pPr>
      <w:rPr>
        <w:rFonts w:ascii="Trebuchet MS" w:eastAsia="Times New Roman"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AB7E88"/>
    <w:multiLevelType w:val="hybridMultilevel"/>
    <w:tmpl w:val="F00E0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964522"/>
    <w:multiLevelType w:val="hybridMultilevel"/>
    <w:tmpl w:val="C44AC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BC662A"/>
    <w:multiLevelType w:val="hybridMultilevel"/>
    <w:tmpl w:val="5DE47A28"/>
    <w:lvl w:ilvl="0" w:tplc="028ADB42">
      <w:numFmt w:val="bullet"/>
      <w:lvlText w:val="•"/>
      <w:lvlJc w:val="left"/>
      <w:pPr>
        <w:ind w:left="720" w:hanging="360"/>
      </w:pPr>
      <w:rPr>
        <w:rFonts w:ascii="Trebuchet MS" w:eastAsia="Times New Roman"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061A48"/>
    <w:multiLevelType w:val="hybridMultilevel"/>
    <w:tmpl w:val="C90EBA8C"/>
    <w:lvl w:ilvl="0" w:tplc="028ADB42">
      <w:numFmt w:val="bullet"/>
      <w:lvlText w:val="•"/>
      <w:lvlJc w:val="left"/>
      <w:pPr>
        <w:ind w:left="720" w:hanging="360"/>
      </w:pPr>
      <w:rPr>
        <w:rFonts w:ascii="Trebuchet MS" w:eastAsia="Times New Roman"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B42AD6"/>
    <w:multiLevelType w:val="hybridMultilevel"/>
    <w:tmpl w:val="227C4C12"/>
    <w:lvl w:ilvl="0" w:tplc="028ADB42">
      <w:numFmt w:val="bullet"/>
      <w:lvlText w:val="•"/>
      <w:lvlJc w:val="left"/>
      <w:pPr>
        <w:ind w:left="720" w:hanging="360"/>
      </w:pPr>
      <w:rPr>
        <w:rFonts w:ascii="Trebuchet MS" w:eastAsia="Times New Roman"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821593"/>
    <w:multiLevelType w:val="hybridMultilevel"/>
    <w:tmpl w:val="B664AE3E"/>
    <w:lvl w:ilvl="0" w:tplc="028ADB42">
      <w:numFmt w:val="bullet"/>
      <w:lvlText w:val="•"/>
      <w:lvlJc w:val="left"/>
      <w:pPr>
        <w:ind w:left="720" w:hanging="360"/>
      </w:pPr>
      <w:rPr>
        <w:rFonts w:ascii="Trebuchet MS" w:eastAsia="Times New Roman"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E85DCA"/>
    <w:multiLevelType w:val="hybridMultilevel"/>
    <w:tmpl w:val="B8807D4A"/>
    <w:lvl w:ilvl="0" w:tplc="028ADB42">
      <w:numFmt w:val="bullet"/>
      <w:lvlText w:val="•"/>
      <w:lvlJc w:val="left"/>
      <w:pPr>
        <w:ind w:left="720" w:hanging="360"/>
      </w:pPr>
      <w:rPr>
        <w:rFonts w:ascii="Trebuchet MS" w:eastAsia="Times New Roman"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C63FEC"/>
    <w:multiLevelType w:val="hybridMultilevel"/>
    <w:tmpl w:val="29307030"/>
    <w:lvl w:ilvl="0" w:tplc="028ADB42">
      <w:numFmt w:val="bullet"/>
      <w:lvlText w:val="•"/>
      <w:lvlJc w:val="left"/>
      <w:pPr>
        <w:ind w:left="720" w:hanging="360"/>
      </w:pPr>
      <w:rPr>
        <w:rFonts w:ascii="Trebuchet MS" w:eastAsia="Times New Roman"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0"/>
  </w:num>
  <w:num w:numId="5">
    <w:abstractNumId w:val="1"/>
  </w:num>
  <w:num w:numId="6">
    <w:abstractNumId w:val="9"/>
  </w:num>
  <w:num w:numId="7">
    <w:abstractNumId w:val="10"/>
  </w:num>
  <w:num w:numId="8">
    <w:abstractNumId w:val="4"/>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A31"/>
    <w:rsid w:val="00002495"/>
    <w:rsid w:val="00064DE2"/>
    <w:rsid w:val="002A274E"/>
    <w:rsid w:val="00316FEC"/>
    <w:rsid w:val="003174FA"/>
    <w:rsid w:val="003A0E37"/>
    <w:rsid w:val="003B001F"/>
    <w:rsid w:val="003B1311"/>
    <w:rsid w:val="003E70BA"/>
    <w:rsid w:val="004C698B"/>
    <w:rsid w:val="005450BD"/>
    <w:rsid w:val="00582C7F"/>
    <w:rsid w:val="005E3739"/>
    <w:rsid w:val="005F5981"/>
    <w:rsid w:val="00862E4D"/>
    <w:rsid w:val="00867A0D"/>
    <w:rsid w:val="009326A2"/>
    <w:rsid w:val="00951E00"/>
    <w:rsid w:val="009B0520"/>
    <w:rsid w:val="009D1330"/>
    <w:rsid w:val="00AB7A31"/>
    <w:rsid w:val="00AF1B73"/>
    <w:rsid w:val="00B15A9E"/>
    <w:rsid w:val="00BA7C1F"/>
    <w:rsid w:val="00BD440F"/>
    <w:rsid w:val="00BD563F"/>
    <w:rsid w:val="00BD6083"/>
    <w:rsid w:val="00CD3C88"/>
    <w:rsid w:val="00D45570"/>
    <w:rsid w:val="00E01BD4"/>
    <w:rsid w:val="00E32AB4"/>
    <w:rsid w:val="00E92248"/>
    <w:rsid w:val="00EB0F8E"/>
    <w:rsid w:val="00EB23FD"/>
    <w:rsid w:val="00ED3F3B"/>
    <w:rsid w:val="00F34D83"/>
    <w:rsid w:val="00FA4744"/>
    <w:rsid w:val="00FE1B40"/>
    <w:rsid w:val="00FE2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BC9450DB-C101-44E3-A589-B711BCBA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A31"/>
  </w:style>
  <w:style w:type="paragraph" w:styleId="Footer">
    <w:name w:val="footer"/>
    <w:basedOn w:val="Normal"/>
    <w:link w:val="FooterChar"/>
    <w:uiPriority w:val="99"/>
    <w:unhideWhenUsed/>
    <w:rsid w:val="00AB7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A31"/>
  </w:style>
  <w:style w:type="character" w:styleId="Hyperlink">
    <w:name w:val="Hyperlink"/>
    <w:basedOn w:val="DefaultParagraphFont"/>
    <w:uiPriority w:val="99"/>
    <w:unhideWhenUsed/>
    <w:rsid w:val="00ED3F3B"/>
    <w:rPr>
      <w:color w:val="0563C1" w:themeColor="hyperlink"/>
      <w:u w:val="single"/>
    </w:rPr>
  </w:style>
  <w:style w:type="character" w:styleId="FollowedHyperlink">
    <w:name w:val="FollowedHyperlink"/>
    <w:basedOn w:val="DefaultParagraphFont"/>
    <w:uiPriority w:val="99"/>
    <w:semiHidden/>
    <w:unhideWhenUsed/>
    <w:rsid w:val="00ED3F3B"/>
    <w:rPr>
      <w:color w:val="954F72" w:themeColor="followedHyperlink"/>
      <w:u w:val="single"/>
    </w:rPr>
  </w:style>
  <w:style w:type="paragraph" w:styleId="ListParagraph">
    <w:name w:val="List Paragraph"/>
    <w:basedOn w:val="Normal"/>
    <w:uiPriority w:val="34"/>
    <w:qFormat/>
    <w:rsid w:val="00ED3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0692">
      <w:bodyDiv w:val="1"/>
      <w:marLeft w:val="0"/>
      <w:marRight w:val="0"/>
      <w:marTop w:val="0"/>
      <w:marBottom w:val="0"/>
      <w:divBdr>
        <w:top w:val="none" w:sz="0" w:space="0" w:color="auto"/>
        <w:left w:val="none" w:sz="0" w:space="0" w:color="auto"/>
        <w:bottom w:val="none" w:sz="0" w:space="0" w:color="auto"/>
        <w:right w:val="none" w:sz="0" w:space="0" w:color="auto"/>
      </w:divBdr>
    </w:div>
    <w:div w:id="9769201">
      <w:bodyDiv w:val="1"/>
      <w:marLeft w:val="0"/>
      <w:marRight w:val="0"/>
      <w:marTop w:val="0"/>
      <w:marBottom w:val="0"/>
      <w:divBdr>
        <w:top w:val="none" w:sz="0" w:space="0" w:color="auto"/>
        <w:left w:val="none" w:sz="0" w:space="0" w:color="auto"/>
        <w:bottom w:val="none" w:sz="0" w:space="0" w:color="auto"/>
        <w:right w:val="none" w:sz="0" w:space="0" w:color="auto"/>
      </w:divBdr>
    </w:div>
    <w:div w:id="9794037">
      <w:bodyDiv w:val="1"/>
      <w:marLeft w:val="0"/>
      <w:marRight w:val="0"/>
      <w:marTop w:val="0"/>
      <w:marBottom w:val="0"/>
      <w:divBdr>
        <w:top w:val="none" w:sz="0" w:space="0" w:color="auto"/>
        <w:left w:val="none" w:sz="0" w:space="0" w:color="auto"/>
        <w:bottom w:val="none" w:sz="0" w:space="0" w:color="auto"/>
        <w:right w:val="none" w:sz="0" w:space="0" w:color="auto"/>
      </w:divBdr>
    </w:div>
    <w:div w:id="45223402">
      <w:bodyDiv w:val="1"/>
      <w:marLeft w:val="0"/>
      <w:marRight w:val="0"/>
      <w:marTop w:val="0"/>
      <w:marBottom w:val="0"/>
      <w:divBdr>
        <w:top w:val="none" w:sz="0" w:space="0" w:color="auto"/>
        <w:left w:val="none" w:sz="0" w:space="0" w:color="auto"/>
        <w:bottom w:val="none" w:sz="0" w:space="0" w:color="auto"/>
        <w:right w:val="none" w:sz="0" w:space="0" w:color="auto"/>
      </w:divBdr>
    </w:div>
    <w:div w:id="69347839">
      <w:bodyDiv w:val="1"/>
      <w:marLeft w:val="0"/>
      <w:marRight w:val="0"/>
      <w:marTop w:val="0"/>
      <w:marBottom w:val="0"/>
      <w:divBdr>
        <w:top w:val="none" w:sz="0" w:space="0" w:color="auto"/>
        <w:left w:val="none" w:sz="0" w:space="0" w:color="auto"/>
        <w:bottom w:val="none" w:sz="0" w:space="0" w:color="auto"/>
        <w:right w:val="none" w:sz="0" w:space="0" w:color="auto"/>
      </w:divBdr>
    </w:div>
    <w:div w:id="86656105">
      <w:bodyDiv w:val="1"/>
      <w:marLeft w:val="0"/>
      <w:marRight w:val="0"/>
      <w:marTop w:val="0"/>
      <w:marBottom w:val="0"/>
      <w:divBdr>
        <w:top w:val="none" w:sz="0" w:space="0" w:color="auto"/>
        <w:left w:val="none" w:sz="0" w:space="0" w:color="auto"/>
        <w:bottom w:val="none" w:sz="0" w:space="0" w:color="auto"/>
        <w:right w:val="none" w:sz="0" w:space="0" w:color="auto"/>
      </w:divBdr>
    </w:div>
    <w:div w:id="101609677">
      <w:bodyDiv w:val="1"/>
      <w:marLeft w:val="0"/>
      <w:marRight w:val="0"/>
      <w:marTop w:val="0"/>
      <w:marBottom w:val="0"/>
      <w:divBdr>
        <w:top w:val="none" w:sz="0" w:space="0" w:color="auto"/>
        <w:left w:val="none" w:sz="0" w:space="0" w:color="auto"/>
        <w:bottom w:val="none" w:sz="0" w:space="0" w:color="auto"/>
        <w:right w:val="none" w:sz="0" w:space="0" w:color="auto"/>
      </w:divBdr>
    </w:div>
    <w:div w:id="106043021">
      <w:bodyDiv w:val="1"/>
      <w:marLeft w:val="0"/>
      <w:marRight w:val="0"/>
      <w:marTop w:val="0"/>
      <w:marBottom w:val="0"/>
      <w:divBdr>
        <w:top w:val="none" w:sz="0" w:space="0" w:color="auto"/>
        <w:left w:val="none" w:sz="0" w:space="0" w:color="auto"/>
        <w:bottom w:val="none" w:sz="0" w:space="0" w:color="auto"/>
        <w:right w:val="none" w:sz="0" w:space="0" w:color="auto"/>
      </w:divBdr>
    </w:div>
    <w:div w:id="181476585">
      <w:bodyDiv w:val="1"/>
      <w:marLeft w:val="0"/>
      <w:marRight w:val="0"/>
      <w:marTop w:val="0"/>
      <w:marBottom w:val="0"/>
      <w:divBdr>
        <w:top w:val="none" w:sz="0" w:space="0" w:color="auto"/>
        <w:left w:val="none" w:sz="0" w:space="0" w:color="auto"/>
        <w:bottom w:val="none" w:sz="0" w:space="0" w:color="auto"/>
        <w:right w:val="none" w:sz="0" w:space="0" w:color="auto"/>
      </w:divBdr>
    </w:div>
    <w:div w:id="196551947">
      <w:bodyDiv w:val="1"/>
      <w:marLeft w:val="0"/>
      <w:marRight w:val="0"/>
      <w:marTop w:val="0"/>
      <w:marBottom w:val="0"/>
      <w:divBdr>
        <w:top w:val="none" w:sz="0" w:space="0" w:color="auto"/>
        <w:left w:val="none" w:sz="0" w:space="0" w:color="auto"/>
        <w:bottom w:val="none" w:sz="0" w:space="0" w:color="auto"/>
        <w:right w:val="none" w:sz="0" w:space="0" w:color="auto"/>
      </w:divBdr>
    </w:div>
    <w:div w:id="229582123">
      <w:bodyDiv w:val="1"/>
      <w:marLeft w:val="0"/>
      <w:marRight w:val="0"/>
      <w:marTop w:val="0"/>
      <w:marBottom w:val="0"/>
      <w:divBdr>
        <w:top w:val="none" w:sz="0" w:space="0" w:color="auto"/>
        <w:left w:val="none" w:sz="0" w:space="0" w:color="auto"/>
        <w:bottom w:val="none" w:sz="0" w:space="0" w:color="auto"/>
        <w:right w:val="none" w:sz="0" w:space="0" w:color="auto"/>
      </w:divBdr>
    </w:div>
    <w:div w:id="229728244">
      <w:bodyDiv w:val="1"/>
      <w:marLeft w:val="0"/>
      <w:marRight w:val="0"/>
      <w:marTop w:val="0"/>
      <w:marBottom w:val="0"/>
      <w:divBdr>
        <w:top w:val="none" w:sz="0" w:space="0" w:color="auto"/>
        <w:left w:val="none" w:sz="0" w:space="0" w:color="auto"/>
        <w:bottom w:val="none" w:sz="0" w:space="0" w:color="auto"/>
        <w:right w:val="none" w:sz="0" w:space="0" w:color="auto"/>
      </w:divBdr>
    </w:div>
    <w:div w:id="285046057">
      <w:bodyDiv w:val="1"/>
      <w:marLeft w:val="0"/>
      <w:marRight w:val="0"/>
      <w:marTop w:val="0"/>
      <w:marBottom w:val="0"/>
      <w:divBdr>
        <w:top w:val="none" w:sz="0" w:space="0" w:color="auto"/>
        <w:left w:val="none" w:sz="0" w:space="0" w:color="auto"/>
        <w:bottom w:val="none" w:sz="0" w:space="0" w:color="auto"/>
        <w:right w:val="none" w:sz="0" w:space="0" w:color="auto"/>
      </w:divBdr>
    </w:div>
    <w:div w:id="290284384">
      <w:bodyDiv w:val="1"/>
      <w:marLeft w:val="0"/>
      <w:marRight w:val="0"/>
      <w:marTop w:val="0"/>
      <w:marBottom w:val="0"/>
      <w:divBdr>
        <w:top w:val="none" w:sz="0" w:space="0" w:color="auto"/>
        <w:left w:val="none" w:sz="0" w:space="0" w:color="auto"/>
        <w:bottom w:val="none" w:sz="0" w:space="0" w:color="auto"/>
        <w:right w:val="none" w:sz="0" w:space="0" w:color="auto"/>
      </w:divBdr>
    </w:div>
    <w:div w:id="331877366">
      <w:bodyDiv w:val="1"/>
      <w:marLeft w:val="0"/>
      <w:marRight w:val="0"/>
      <w:marTop w:val="0"/>
      <w:marBottom w:val="0"/>
      <w:divBdr>
        <w:top w:val="none" w:sz="0" w:space="0" w:color="auto"/>
        <w:left w:val="none" w:sz="0" w:space="0" w:color="auto"/>
        <w:bottom w:val="none" w:sz="0" w:space="0" w:color="auto"/>
        <w:right w:val="none" w:sz="0" w:space="0" w:color="auto"/>
      </w:divBdr>
    </w:div>
    <w:div w:id="343440042">
      <w:bodyDiv w:val="1"/>
      <w:marLeft w:val="0"/>
      <w:marRight w:val="0"/>
      <w:marTop w:val="0"/>
      <w:marBottom w:val="0"/>
      <w:divBdr>
        <w:top w:val="none" w:sz="0" w:space="0" w:color="auto"/>
        <w:left w:val="none" w:sz="0" w:space="0" w:color="auto"/>
        <w:bottom w:val="none" w:sz="0" w:space="0" w:color="auto"/>
        <w:right w:val="none" w:sz="0" w:space="0" w:color="auto"/>
      </w:divBdr>
    </w:div>
    <w:div w:id="361395178">
      <w:bodyDiv w:val="1"/>
      <w:marLeft w:val="0"/>
      <w:marRight w:val="0"/>
      <w:marTop w:val="0"/>
      <w:marBottom w:val="0"/>
      <w:divBdr>
        <w:top w:val="none" w:sz="0" w:space="0" w:color="auto"/>
        <w:left w:val="none" w:sz="0" w:space="0" w:color="auto"/>
        <w:bottom w:val="none" w:sz="0" w:space="0" w:color="auto"/>
        <w:right w:val="none" w:sz="0" w:space="0" w:color="auto"/>
      </w:divBdr>
    </w:div>
    <w:div w:id="365762630">
      <w:bodyDiv w:val="1"/>
      <w:marLeft w:val="0"/>
      <w:marRight w:val="0"/>
      <w:marTop w:val="0"/>
      <w:marBottom w:val="0"/>
      <w:divBdr>
        <w:top w:val="none" w:sz="0" w:space="0" w:color="auto"/>
        <w:left w:val="none" w:sz="0" w:space="0" w:color="auto"/>
        <w:bottom w:val="none" w:sz="0" w:space="0" w:color="auto"/>
        <w:right w:val="none" w:sz="0" w:space="0" w:color="auto"/>
      </w:divBdr>
    </w:div>
    <w:div w:id="448931908">
      <w:bodyDiv w:val="1"/>
      <w:marLeft w:val="0"/>
      <w:marRight w:val="0"/>
      <w:marTop w:val="0"/>
      <w:marBottom w:val="0"/>
      <w:divBdr>
        <w:top w:val="none" w:sz="0" w:space="0" w:color="auto"/>
        <w:left w:val="none" w:sz="0" w:space="0" w:color="auto"/>
        <w:bottom w:val="none" w:sz="0" w:space="0" w:color="auto"/>
        <w:right w:val="none" w:sz="0" w:space="0" w:color="auto"/>
      </w:divBdr>
    </w:div>
    <w:div w:id="459223999">
      <w:bodyDiv w:val="1"/>
      <w:marLeft w:val="0"/>
      <w:marRight w:val="0"/>
      <w:marTop w:val="0"/>
      <w:marBottom w:val="0"/>
      <w:divBdr>
        <w:top w:val="none" w:sz="0" w:space="0" w:color="auto"/>
        <w:left w:val="none" w:sz="0" w:space="0" w:color="auto"/>
        <w:bottom w:val="none" w:sz="0" w:space="0" w:color="auto"/>
        <w:right w:val="none" w:sz="0" w:space="0" w:color="auto"/>
      </w:divBdr>
    </w:div>
    <w:div w:id="465242365">
      <w:bodyDiv w:val="1"/>
      <w:marLeft w:val="0"/>
      <w:marRight w:val="0"/>
      <w:marTop w:val="0"/>
      <w:marBottom w:val="0"/>
      <w:divBdr>
        <w:top w:val="none" w:sz="0" w:space="0" w:color="auto"/>
        <w:left w:val="none" w:sz="0" w:space="0" w:color="auto"/>
        <w:bottom w:val="none" w:sz="0" w:space="0" w:color="auto"/>
        <w:right w:val="none" w:sz="0" w:space="0" w:color="auto"/>
      </w:divBdr>
    </w:div>
    <w:div w:id="472328385">
      <w:bodyDiv w:val="1"/>
      <w:marLeft w:val="0"/>
      <w:marRight w:val="0"/>
      <w:marTop w:val="0"/>
      <w:marBottom w:val="0"/>
      <w:divBdr>
        <w:top w:val="none" w:sz="0" w:space="0" w:color="auto"/>
        <w:left w:val="none" w:sz="0" w:space="0" w:color="auto"/>
        <w:bottom w:val="none" w:sz="0" w:space="0" w:color="auto"/>
        <w:right w:val="none" w:sz="0" w:space="0" w:color="auto"/>
      </w:divBdr>
    </w:div>
    <w:div w:id="495195201">
      <w:bodyDiv w:val="1"/>
      <w:marLeft w:val="0"/>
      <w:marRight w:val="0"/>
      <w:marTop w:val="0"/>
      <w:marBottom w:val="0"/>
      <w:divBdr>
        <w:top w:val="none" w:sz="0" w:space="0" w:color="auto"/>
        <w:left w:val="none" w:sz="0" w:space="0" w:color="auto"/>
        <w:bottom w:val="none" w:sz="0" w:space="0" w:color="auto"/>
        <w:right w:val="none" w:sz="0" w:space="0" w:color="auto"/>
      </w:divBdr>
    </w:div>
    <w:div w:id="525874556">
      <w:bodyDiv w:val="1"/>
      <w:marLeft w:val="0"/>
      <w:marRight w:val="0"/>
      <w:marTop w:val="0"/>
      <w:marBottom w:val="0"/>
      <w:divBdr>
        <w:top w:val="none" w:sz="0" w:space="0" w:color="auto"/>
        <w:left w:val="none" w:sz="0" w:space="0" w:color="auto"/>
        <w:bottom w:val="none" w:sz="0" w:space="0" w:color="auto"/>
        <w:right w:val="none" w:sz="0" w:space="0" w:color="auto"/>
      </w:divBdr>
    </w:div>
    <w:div w:id="535703878">
      <w:bodyDiv w:val="1"/>
      <w:marLeft w:val="0"/>
      <w:marRight w:val="0"/>
      <w:marTop w:val="0"/>
      <w:marBottom w:val="0"/>
      <w:divBdr>
        <w:top w:val="none" w:sz="0" w:space="0" w:color="auto"/>
        <w:left w:val="none" w:sz="0" w:space="0" w:color="auto"/>
        <w:bottom w:val="none" w:sz="0" w:space="0" w:color="auto"/>
        <w:right w:val="none" w:sz="0" w:space="0" w:color="auto"/>
      </w:divBdr>
    </w:div>
    <w:div w:id="536544557">
      <w:bodyDiv w:val="1"/>
      <w:marLeft w:val="0"/>
      <w:marRight w:val="0"/>
      <w:marTop w:val="0"/>
      <w:marBottom w:val="0"/>
      <w:divBdr>
        <w:top w:val="none" w:sz="0" w:space="0" w:color="auto"/>
        <w:left w:val="none" w:sz="0" w:space="0" w:color="auto"/>
        <w:bottom w:val="none" w:sz="0" w:space="0" w:color="auto"/>
        <w:right w:val="none" w:sz="0" w:space="0" w:color="auto"/>
      </w:divBdr>
    </w:div>
    <w:div w:id="558396498">
      <w:bodyDiv w:val="1"/>
      <w:marLeft w:val="0"/>
      <w:marRight w:val="0"/>
      <w:marTop w:val="0"/>
      <w:marBottom w:val="0"/>
      <w:divBdr>
        <w:top w:val="none" w:sz="0" w:space="0" w:color="auto"/>
        <w:left w:val="none" w:sz="0" w:space="0" w:color="auto"/>
        <w:bottom w:val="none" w:sz="0" w:space="0" w:color="auto"/>
        <w:right w:val="none" w:sz="0" w:space="0" w:color="auto"/>
      </w:divBdr>
    </w:div>
    <w:div w:id="567036281">
      <w:bodyDiv w:val="1"/>
      <w:marLeft w:val="0"/>
      <w:marRight w:val="0"/>
      <w:marTop w:val="0"/>
      <w:marBottom w:val="0"/>
      <w:divBdr>
        <w:top w:val="none" w:sz="0" w:space="0" w:color="auto"/>
        <w:left w:val="none" w:sz="0" w:space="0" w:color="auto"/>
        <w:bottom w:val="none" w:sz="0" w:space="0" w:color="auto"/>
        <w:right w:val="none" w:sz="0" w:space="0" w:color="auto"/>
      </w:divBdr>
    </w:div>
    <w:div w:id="581960575">
      <w:bodyDiv w:val="1"/>
      <w:marLeft w:val="0"/>
      <w:marRight w:val="0"/>
      <w:marTop w:val="0"/>
      <w:marBottom w:val="0"/>
      <w:divBdr>
        <w:top w:val="none" w:sz="0" w:space="0" w:color="auto"/>
        <w:left w:val="none" w:sz="0" w:space="0" w:color="auto"/>
        <w:bottom w:val="none" w:sz="0" w:space="0" w:color="auto"/>
        <w:right w:val="none" w:sz="0" w:space="0" w:color="auto"/>
      </w:divBdr>
    </w:div>
    <w:div w:id="583027300">
      <w:bodyDiv w:val="1"/>
      <w:marLeft w:val="0"/>
      <w:marRight w:val="0"/>
      <w:marTop w:val="0"/>
      <w:marBottom w:val="0"/>
      <w:divBdr>
        <w:top w:val="none" w:sz="0" w:space="0" w:color="auto"/>
        <w:left w:val="none" w:sz="0" w:space="0" w:color="auto"/>
        <w:bottom w:val="none" w:sz="0" w:space="0" w:color="auto"/>
        <w:right w:val="none" w:sz="0" w:space="0" w:color="auto"/>
      </w:divBdr>
    </w:div>
    <w:div w:id="596519668">
      <w:bodyDiv w:val="1"/>
      <w:marLeft w:val="0"/>
      <w:marRight w:val="0"/>
      <w:marTop w:val="0"/>
      <w:marBottom w:val="0"/>
      <w:divBdr>
        <w:top w:val="none" w:sz="0" w:space="0" w:color="auto"/>
        <w:left w:val="none" w:sz="0" w:space="0" w:color="auto"/>
        <w:bottom w:val="none" w:sz="0" w:space="0" w:color="auto"/>
        <w:right w:val="none" w:sz="0" w:space="0" w:color="auto"/>
      </w:divBdr>
    </w:div>
    <w:div w:id="625545185">
      <w:bodyDiv w:val="1"/>
      <w:marLeft w:val="0"/>
      <w:marRight w:val="0"/>
      <w:marTop w:val="0"/>
      <w:marBottom w:val="0"/>
      <w:divBdr>
        <w:top w:val="none" w:sz="0" w:space="0" w:color="auto"/>
        <w:left w:val="none" w:sz="0" w:space="0" w:color="auto"/>
        <w:bottom w:val="none" w:sz="0" w:space="0" w:color="auto"/>
        <w:right w:val="none" w:sz="0" w:space="0" w:color="auto"/>
      </w:divBdr>
    </w:div>
    <w:div w:id="649790943">
      <w:bodyDiv w:val="1"/>
      <w:marLeft w:val="0"/>
      <w:marRight w:val="0"/>
      <w:marTop w:val="0"/>
      <w:marBottom w:val="0"/>
      <w:divBdr>
        <w:top w:val="none" w:sz="0" w:space="0" w:color="auto"/>
        <w:left w:val="none" w:sz="0" w:space="0" w:color="auto"/>
        <w:bottom w:val="none" w:sz="0" w:space="0" w:color="auto"/>
        <w:right w:val="none" w:sz="0" w:space="0" w:color="auto"/>
      </w:divBdr>
    </w:div>
    <w:div w:id="682171522">
      <w:bodyDiv w:val="1"/>
      <w:marLeft w:val="0"/>
      <w:marRight w:val="0"/>
      <w:marTop w:val="0"/>
      <w:marBottom w:val="0"/>
      <w:divBdr>
        <w:top w:val="none" w:sz="0" w:space="0" w:color="auto"/>
        <w:left w:val="none" w:sz="0" w:space="0" w:color="auto"/>
        <w:bottom w:val="none" w:sz="0" w:space="0" w:color="auto"/>
        <w:right w:val="none" w:sz="0" w:space="0" w:color="auto"/>
      </w:divBdr>
    </w:div>
    <w:div w:id="683942626">
      <w:bodyDiv w:val="1"/>
      <w:marLeft w:val="0"/>
      <w:marRight w:val="0"/>
      <w:marTop w:val="0"/>
      <w:marBottom w:val="0"/>
      <w:divBdr>
        <w:top w:val="none" w:sz="0" w:space="0" w:color="auto"/>
        <w:left w:val="none" w:sz="0" w:space="0" w:color="auto"/>
        <w:bottom w:val="none" w:sz="0" w:space="0" w:color="auto"/>
        <w:right w:val="none" w:sz="0" w:space="0" w:color="auto"/>
      </w:divBdr>
    </w:div>
    <w:div w:id="699597692">
      <w:bodyDiv w:val="1"/>
      <w:marLeft w:val="0"/>
      <w:marRight w:val="0"/>
      <w:marTop w:val="0"/>
      <w:marBottom w:val="0"/>
      <w:divBdr>
        <w:top w:val="none" w:sz="0" w:space="0" w:color="auto"/>
        <w:left w:val="none" w:sz="0" w:space="0" w:color="auto"/>
        <w:bottom w:val="none" w:sz="0" w:space="0" w:color="auto"/>
        <w:right w:val="none" w:sz="0" w:space="0" w:color="auto"/>
      </w:divBdr>
    </w:div>
    <w:div w:id="727269702">
      <w:bodyDiv w:val="1"/>
      <w:marLeft w:val="0"/>
      <w:marRight w:val="0"/>
      <w:marTop w:val="0"/>
      <w:marBottom w:val="0"/>
      <w:divBdr>
        <w:top w:val="none" w:sz="0" w:space="0" w:color="auto"/>
        <w:left w:val="none" w:sz="0" w:space="0" w:color="auto"/>
        <w:bottom w:val="none" w:sz="0" w:space="0" w:color="auto"/>
        <w:right w:val="none" w:sz="0" w:space="0" w:color="auto"/>
      </w:divBdr>
    </w:div>
    <w:div w:id="733620993">
      <w:bodyDiv w:val="1"/>
      <w:marLeft w:val="0"/>
      <w:marRight w:val="0"/>
      <w:marTop w:val="0"/>
      <w:marBottom w:val="0"/>
      <w:divBdr>
        <w:top w:val="none" w:sz="0" w:space="0" w:color="auto"/>
        <w:left w:val="none" w:sz="0" w:space="0" w:color="auto"/>
        <w:bottom w:val="none" w:sz="0" w:space="0" w:color="auto"/>
        <w:right w:val="none" w:sz="0" w:space="0" w:color="auto"/>
      </w:divBdr>
    </w:div>
    <w:div w:id="740754820">
      <w:bodyDiv w:val="1"/>
      <w:marLeft w:val="0"/>
      <w:marRight w:val="0"/>
      <w:marTop w:val="0"/>
      <w:marBottom w:val="0"/>
      <w:divBdr>
        <w:top w:val="none" w:sz="0" w:space="0" w:color="auto"/>
        <w:left w:val="none" w:sz="0" w:space="0" w:color="auto"/>
        <w:bottom w:val="none" w:sz="0" w:space="0" w:color="auto"/>
        <w:right w:val="none" w:sz="0" w:space="0" w:color="auto"/>
      </w:divBdr>
    </w:div>
    <w:div w:id="743332911">
      <w:bodyDiv w:val="1"/>
      <w:marLeft w:val="0"/>
      <w:marRight w:val="0"/>
      <w:marTop w:val="0"/>
      <w:marBottom w:val="0"/>
      <w:divBdr>
        <w:top w:val="none" w:sz="0" w:space="0" w:color="auto"/>
        <w:left w:val="none" w:sz="0" w:space="0" w:color="auto"/>
        <w:bottom w:val="none" w:sz="0" w:space="0" w:color="auto"/>
        <w:right w:val="none" w:sz="0" w:space="0" w:color="auto"/>
      </w:divBdr>
    </w:div>
    <w:div w:id="745763821">
      <w:bodyDiv w:val="1"/>
      <w:marLeft w:val="0"/>
      <w:marRight w:val="0"/>
      <w:marTop w:val="0"/>
      <w:marBottom w:val="0"/>
      <w:divBdr>
        <w:top w:val="none" w:sz="0" w:space="0" w:color="auto"/>
        <w:left w:val="none" w:sz="0" w:space="0" w:color="auto"/>
        <w:bottom w:val="none" w:sz="0" w:space="0" w:color="auto"/>
        <w:right w:val="none" w:sz="0" w:space="0" w:color="auto"/>
      </w:divBdr>
    </w:div>
    <w:div w:id="763116651">
      <w:bodyDiv w:val="1"/>
      <w:marLeft w:val="0"/>
      <w:marRight w:val="0"/>
      <w:marTop w:val="0"/>
      <w:marBottom w:val="0"/>
      <w:divBdr>
        <w:top w:val="none" w:sz="0" w:space="0" w:color="auto"/>
        <w:left w:val="none" w:sz="0" w:space="0" w:color="auto"/>
        <w:bottom w:val="none" w:sz="0" w:space="0" w:color="auto"/>
        <w:right w:val="none" w:sz="0" w:space="0" w:color="auto"/>
      </w:divBdr>
    </w:div>
    <w:div w:id="776560246">
      <w:bodyDiv w:val="1"/>
      <w:marLeft w:val="0"/>
      <w:marRight w:val="0"/>
      <w:marTop w:val="0"/>
      <w:marBottom w:val="0"/>
      <w:divBdr>
        <w:top w:val="none" w:sz="0" w:space="0" w:color="auto"/>
        <w:left w:val="none" w:sz="0" w:space="0" w:color="auto"/>
        <w:bottom w:val="none" w:sz="0" w:space="0" w:color="auto"/>
        <w:right w:val="none" w:sz="0" w:space="0" w:color="auto"/>
      </w:divBdr>
    </w:div>
    <w:div w:id="780345940">
      <w:bodyDiv w:val="1"/>
      <w:marLeft w:val="0"/>
      <w:marRight w:val="0"/>
      <w:marTop w:val="0"/>
      <w:marBottom w:val="0"/>
      <w:divBdr>
        <w:top w:val="none" w:sz="0" w:space="0" w:color="auto"/>
        <w:left w:val="none" w:sz="0" w:space="0" w:color="auto"/>
        <w:bottom w:val="none" w:sz="0" w:space="0" w:color="auto"/>
        <w:right w:val="none" w:sz="0" w:space="0" w:color="auto"/>
      </w:divBdr>
    </w:div>
    <w:div w:id="794834114">
      <w:bodyDiv w:val="1"/>
      <w:marLeft w:val="0"/>
      <w:marRight w:val="0"/>
      <w:marTop w:val="0"/>
      <w:marBottom w:val="0"/>
      <w:divBdr>
        <w:top w:val="none" w:sz="0" w:space="0" w:color="auto"/>
        <w:left w:val="none" w:sz="0" w:space="0" w:color="auto"/>
        <w:bottom w:val="none" w:sz="0" w:space="0" w:color="auto"/>
        <w:right w:val="none" w:sz="0" w:space="0" w:color="auto"/>
      </w:divBdr>
    </w:div>
    <w:div w:id="796334660">
      <w:bodyDiv w:val="1"/>
      <w:marLeft w:val="0"/>
      <w:marRight w:val="0"/>
      <w:marTop w:val="0"/>
      <w:marBottom w:val="0"/>
      <w:divBdr>
        <w:top w:val="none" w:sz="0" w:space="0" w:color="auto"/>
        <w:left w:val="none" w:sz="0" w:space="0" w:color="auto"/>
        <w:bottom w:val="none" w:sz="0" w:space="0" w:color="auto"/>
        <w:right w:val="none" w:sz="0" w:space="0" w:color="auto"/>
      </w:divBdr>
    </w:div>
    <w:div w:id="838425445">
      <w:bodyDiv w:val="1"/>
      <w:marLeft w:val="0"/>
      <w:marRight w:val="0"/>
      <w:marTop w:val="0"/>
      <w:marBottom w:val="0"/>
      <w:divBdr>
        <w:top w:val="none" w:sz="0" w:space="0" w:color="auto"/>
        <w:left w:val="none" w:sz="0" w:space="0" w:color="auto"/>
        <w:bottom w:val="none" w:sz="0" w:space="0" w:color="auto"/>
        <w:right w:val="none" w:sz="0" w:space="0" w:color="auto"/>
      </w:divBdr>
    </w:div>
    <w:div w:id="842864871">
      <w:bodyDiv w:val="1"/>
      <w:marLeft w:val="0"/>
      <w:marRight w:val="0"/>
      <w:marTop w:val="0"/>
      <w:marBottom w:val="0"/>
      <w:divBdr>
        <w:top w:val="none" w:sz="0" w:space="0" w:color="auto"/>
        <w:left w:val="none" w:sz="0" w:space="0" w:color="auto"/>
        <w:bottom w:val="none" w:sz="0" w:space="0" w:color="auto"/>
        <w:right w:val="none" w:sz="0" w:space="0" w:color="auto"/>
      </w:divBdr>
    </w:div>
    <w:div w:id="857474363">
      <w:bodyDiv w:val="1"/>
      <w:marLeft w:val="0"/>
      <w:marRight w:val="0"/>
      <w:marTop w:val="0"/>
      <w:marBottom w:val="0"/>
      <w:divBdr>
        <w:top w:val="none" w:sz="0" w:space="0" w:color="auto"/>
        <w:left w:val="none" w:sz="0" w:space="0" w:color="auto"/>
        <w:bottom w:val="none" w:sz="0" w:space="0" w:color="auto"/>
        <w:right w:val="none" w:sz="0" w:space="0" w:color="auto"/>
      </w:divBdr>
    </w:div>
    <w:div w:id="866599211">
      <w:bodyDiv w:val="1"/>
      <w:marLeft w:val="0"/>
      <w:marRight w:val="0"/>
      <w:marTop w:val="0"/>
      <w:marBottom w:val="0"/>
      <w:divBdr>
        <w:top w:val="none" w:sz="0" w:space="0" w:color="auto"/>
        <w:left w:val="none" w:sz="0" w:space="0" w:color="auto"/>
        <w:bottom w:val="none" w:sz="0" w:space="0" w:color="auto"/>
        <w:right w:val="none" w:sz="0" w:space="0" w:color="auto"/>
      </w:divBdr>
    </w:div>
    <w:div w:id="894311717">
      <w:bodyDiv w:val="1"/>
      <w:marLeft w:val="0"/>
      <w:marRight w:val="0"/>
      <w:marTop w:val="0"/>
      <w:marBottom w:val="0"/>
      <w:divBdr>
        <w:top w:val="none" w:sz="0" w:space="0" w:color="auto"/>
        <w:left w:val="none" w:sz="0" w:space="0" w:color="auto"/>
        <w:bottom w:val="none" w:sz="0" w:space="0" w:color="auto"/>
        <w:right w:val="none" w:sz="0" w:space="0" w:color="auto"/>
      </w:divBdr>
    </w:div>
    <w:div w:id="931397780">
      <w:bodyDiv w:val="1"/>
      <w:marLeft w:val="0"/>
      <w:marRight w:val="0"/>
      <w:marTop w:val="0"/>
      <w:marBottom w:val="0"/>
      <w:divBdr>
        <w:top w:val="none" w:sz="0" w:space="0" w:color="auto"/>
        <w:left w:val="none" w:sz="0" w:space="0" w:color="auto"/>
        <w:bottom w:val="none" w:sz="0" w:space="0" w:color="auto"/>
        <w:right w:val="none" w:sz="0" w:space="0" w:color="auto"/>
      </w:divBdr>
    </w:div>
    <w:div w:id="931739287">
      <w:bodyDiv w:val="1"/>
      <w:marLeft w:val="0"/>
      <w:marRight w:val="0"/>
      <w:marTop w:val="0"/>
      <w:marBottom w:val="0"/>
      <w:divBdr>
        <w:top w:val="none" w:sz="0" w:space="0" w:color="auto"/>
        <w:left w:val="none" w:sz="0" w:space="0" w:color="auto"/>
        <w:bottom w:val="none" w:sz="0" w:space="0" w:color="auto"/>
        <w:right w:val="none" w:sz="0" w:space="0" w:color="auto"/>
      </w:divBdr>
    </w:div>
    <w:div w:id="959803690">
      <w:bodyDiv w:val="1"/>
      <w:marLeft w:val="0"/>
      <w:marRight w:val="0"/>
      <w:marTop w:val="0"/>
      <w:marBottom w:val="0"/>
      <w:divBdr>
        <w:top w:val="none" w:sz="0" w:space="0" w:color="auto"/>
        <w:left w:val="none" w:sz="0" w:space="0" w:color="auto"/>
        <w:bottom w:val="none" w:sz="0" w:space="0" w:color="auto"/>
        <w:right w:val="none" w:sz="0" w:space="0" w:color="auto"/>
      </w:divBdr>
    </w:div>
    <w:div w:id="981157576">
      <w:bodyDiv w:val="1"/>
      <w:marLeft w:val="0"/>
      <w:marRight w:val="0"/>
      <w:marTop w:val="0"/>
      <w:marBottom w:val="0"/>
      <w:divBdr>
        <w:top w:val="none" w:sz="0" w:space="0" w:color="auto"/>
        <w:left w:val="none" w:sz="0" w:space="0" w:color="auto"/>
        <w:bottom w:val="none" w:sz="0" w:space="0" w:color="auto"/>
        <w:right w:val="none" w:sz="0" w:space="0" w:color="auto"/>
      </w:divBdr>
    </w:div>
    <w:div w:id="990477805">
      <w:bodyDiv w:val="1"/>
      <w:marLeft w:val="0"/>
      <w:marRight w:val="0"/>
      <w:marTop w:val="0"/>
      <w:marBottom w:val="0"/>
      <w:divBdr>
        <w:top w:val="none" w:sz="0" w:space="0" w:color="auto"/>
        <w:left w:val="none" w:sz="0" w:space="0" w:color="auto"/>
        <w:bottom w:val="none" w:sz="0" w:space="0" w:color="auto"/>
        <w:right w:val="none" w:sz="0" w:space="0" w:color="auto"/>
      </w:divBdr>
    </w:div>
    <w:div w:id="993680662">
      <w:bodyDiv w:val="1"/>
      <w:marLeft w:val="0"/>
      <w:marRight w:val="0"/>
      <w:marTop w:val="0"/>
      <w:marBottom w:val="0"/>
      <w:divBdr>
        <w:top w:val="none" w:sz="0" w:space="0" w:color="auto"/>
        <w:left w:val="none" w:sz="0" w:space="0" w:color="auto"/>
        <w:bottom w:val="none" w:sz="0" w:space="0" w:color="auto"/>
        <w:right w:val="none" w:sz="0" w:space="0" w:color="auto"/>
      </w:divBdr>
    </w:div>
    <w:div w:id="996494632">
      <w:bodyDiv w:val="1"/>
      <w:marLeft w:val="0"/>
      <w:marRight w:val="0"/>
      <w:marTop w:val="0"/>
      <w:marBottom w:val="0"/>
      <w:divBdr>
        <w:top w:val="none" w:sz="0" w:space="0" w:color="auto"/>
        <w:left w:val="none" w:sz="0" w:space="0" w:color="auto"/>
        <w:bottom w:val="none" w:sz="0" w:space="0" w:color="auto"/>
        <w:right w:val="none" w:sz="0" w:space="0" w:color="auto"/>
      </w:divBdr>
    </w:div>
    <w:div w:id="1001078063">
      <w:bodyDiv w:val="1"/>
      <w:marLeft w:val="0"/>
      <w:marRight w:val="0"/>
      <w:marTop w:val="0"/>
      <w:marBottom w:val="0"/>
      <w:divBdr>
        <w:top w:val="none" w:sz="0" w:space="0" w:color="auto"/>
        <w:left w:val="none" w:sz="0" w:space="0" w:color="auto"/>
        <w:bottom w:val="none" w:sz="0" w:space="0" w:color="auto"/>
        <w:right w:val="none" w:sz="0" w:space="0" w:color="auto"/>
      </w:divBdr>
    </w:div>
    <w:div w:id="1024281225">
      <w:bodyDiv w:val="1"/>
      <w:marLeft w:val="0"/>
      <w:marRight w:val="0"/>
      <w:marTop w:val="0"/>
      <w:marBottom w:val="0"/>
      <w:divBdr>
        <w:top w:val="none" w:sz="0" w:space="0" w:color="auto"/>
        <w:left w:val="none" w:sz="0" w:space="0" w:color="auto"/>
        <w:bottom w:val="none" w:sz="0" w:space="0" w:color="auto"/>
        <w:right w:val="none" w:sz="0" w:space="0" w:color="auto"/>
      </w:divBdr>
    </w:div>
    <w:div w:id="1029337770">
      <w:bodyDiv w:val="1"/>
      <w:marLeft w:val="0"/>
      <w:marRight w:val="0"/>
      <w:marTop w:val="0"/>
      <w:marBottom w:val="0"/>
      <w:divBdr>
        <w:top w:val="none" w:sz="0" w:space="0" w:color="auto"/>
        <w:left w:val="none" w:sz="0" w:space="0" w:color="auto"/>
        <w:bottom w:val="none" w:sz="0" w:space="0" w:color="auto"/>
        <w:right w:val="none" w:sz="0" w:space="0" w:color="auto"/>
      </w:divBdr>
    </w:div>
    <w:div w:id="1032536710">
      <w:bodyDiv w:val="1"/>
      <w:marLeft w:val="0"/>
      <w:marRight w:val="0"/>
      <w:marTop w:val="0"/>
      <w:marBottom w:val="0"/>
      <w:divBdr>
        <w:top w:val="none" w:sz="0" w:space="0" w:color="auto"/>
        <w:left w:val="none" w:sz="0" w:space="0" w:color="auto"/>
        <w:bottom w:val="none" w:sz="0" w:space="0" w:color="auto"/>
        <w:right w:val="none" w:sz="0" w:space="0" w:color="auto"/>
      </w:divBdr>
    </w:div>
    <w:div w:id="1038050895">
      <w:bodyDiv w:val="1"/>
      <w:marLeft w:val="0"/>
      <w:marRight w:val="0"/>
      <w:marTop w:val="0"/>
      <w:marBottom w:val="0"/>
      <w:divBdr>
        <w:top w:val="none" w:sz="0" w:space="0" w:color="auto"/>
        <w:left w:val="none" w:sz="0" w:space="0" w:color="auto"/>
        <w:bottom w:val="none" w:sz="0" w:space="0" w:color="auto"/>
        <w:right w:val="none" w:sz="0" w:space="0" w:color="auto"/>
      </w:divBdr>
    </w:div>
    <w:div w:id="1066873961">
      <w:bodyDiv w:val="1"/>
      <w:marLeft w:val="0"/>
      <w:marRight w:val="0"/>
      <w:marTop w:val="0"/>
      <w:marBottom w:val="0"/>
      <w:divBdr>
        <w:top w:val="none" w:sz="0" w:space="0" w:color="auto"/>
        <w:left w:val="none" w:sz="0" w:space="0" w:color="auto"/>
        <w:bottom w:val="none" w:sz="0" w:space="0" w:color="auto"/>
        <w:right w:val="none" w:sz="0" w:space="0" w:color="auto"/>
      </w:divBdr>
    </w:div>
    <w:div w:id="1073773488">
      <w:bodyDiv w:val="1"/>
      <w:marLeft w:val="0"/>
      <w:marRight w:val="0"/>
      <w:marTop w:val="0"/>
      <w:marBottom w:val="0"/>
      <w:divBdr>
        <w:top w:val="none" w:sz="0" w:space="0" w:color="auto"/>
        <w:left w:val="none" w:sz="0" w:space="0" w:color="auto"/>
        <w:bottom w:val="none" w:sz="0" w:space="0" w:color="auto"/>
        <w:right w:val="none" w:sz="0" w:space="0" w:color="auto"/>
      </w:divBdr>
    </w:div>
    <w:div w:id="1085104974">
      <w:bodyDiv w:val="1"/>
      <w:marLeft w:val="0"/>
      <w:marRight w:val="0"/>
      <w:marTop w:val="0"/>
      <w:marBottom w:val="0"/>
      <w:divBdr>
        <w:top w:val="none" w:sz="0" w:space="0" w:color="auto"/>
        <w:left w:val="none" w:sz="0" w:space="0" w:color="auto"/>
        <w:bottom w:val="none" w:sz="0" w:space="0" w:color="auto"/>
        <w:right w:val="none" w:sz="0" w:space="0" w:color="auto"/>
      </w:divBdr>
    </w:div>
    <w:div w:id="1124425128">
      <w:bodyDiv w:val="1"/>
      <w:marLeft w:val="0"/>
      <w:marRight w:val="0"/>
      <w:marTop w:val="0"/>
      <w:marBottom w:val="0"/>
      <w:divBdr>
        <w:top w:val="none" w:sz="0" w:space="0" w:color="auto"/>
        <w:left w:val="none" w:sz="0" w:space="0" w:color="auto"/>
        <w:bottom w:val="none" w:sz="0" w:space="0" w:color="auto"/>
        <w:right w:val="none" w:sz="0" w:space="0" w:color="auto"/>
      </w:divBdr>
    </w:div>
    <w:div w:id="1136803165">
      <w:bodyDiv w:val="1"/>
      <w:marLeft w:val="0"/>
      <w:marRight w:val="0"/>
      <w:marTop w:val="0"/>
      <w:marBottom w:val="0"/>
      <w:divBdr>
        <w:top w:val="none" w:sz="0" w:space="0" w:color="auto"/>
        <w:left w:val="none" w:sz="0" w:space="0" w:color="auto"/>
        <w:bottom w:val="none" w:sz="0" w:space="0" w:color="auto"/>
        <w:right w:val="none" w:sz="0" w:space="0" w:color="auto"/>
      </w:divBdr>
    </w:div>
    <w:div w:id="1138842350">
      <w:bodyDiv w:val="1"/>
      <w:marLeft w:val="0"/>
      <w:marRight w:val="0"/>
      <w:marTop w:val="0"/>
      <w:marBottom w:val="0"/>
      <w:divBdr>
        <w:top w:val="none" w:sz="0" w:space="0" w:color="auto"/>
        <w:left w:val="none" w:sz="0" w:space="0" w:color="auto"/>
        <w:bottom w:val="none" w:sz="0" w:space="0" w:color="auto"/>
        <w:right w:val="none" w:sz="0" w:space="0" w:color="auto"/>
      </w:divBdr>
    </w:div>
    <w:div w:id="1146121743">
      <w:bodyDiv w:val="1"/>
      <w:marLeft w:val="0"/>
      <w:marRight w:val="0"/>
      <w:marTop w:val="0"/>
      <w:marBottom w:val="0"/>
      <w:divBdr>
        <w:top w:val="none" w:sz="0" w:space="0" w:color="auto"/>
        <w:left w:val="none" w:sz="0" w:space="0" w:color="auto"/>
        <w:bottom w:val="none" w:sz="0" w:space="0" w:color="auto"/>
        <w:right w:val="none" w:sz="0" w:space="0" w:color="auto"/>
      </w:divBdr>
    </w:div>
    <w:div w:id="1155145989">
      <w:bodyDiv w:val="1"/>
      <w:marLeft w:val="0"/>
      <w:marRight w:val="0"/>
      <w:marTop w:val="0"/>
      <w:marBottom w:val="0"/>
      <w:divBdr>
        <w:top w:val="none" w:sz="0" w:space="0" w:color="auto"/>
        <w:left w:val="none" w:sz="0" w:space="0" w:color="auto"/>
        <w:bottom w:val="none" w:sz="0" w:space="0" w:color="auto"/>
        <w:right w:val="none" w:sz="0" w:space="0" w:color="auto"/>
      </w:divBdr>
    </w:div>
    <w:div w:id="1160583856">
      <w:bodyDiv w:val="1"/>
      <w:marLeft w:val="0"/>
      <w:marRight w:val="0"/>
      <w:marTop w:val="0"/>
      <w:marBottom w:val="0"/>
      <w:divBdr>
        <w:top w:val="none" w:sz="0" w:space="0" w:color="auto"/>
        <w:left w:val="none" w:sz="0" w:space="0" w:color="auto"/>
        <w:bottom w:val="none" w:sz="0" w:space="0" w:color="auto"/>
        <w:right w:val="none" w:sz="0" w:space="0" w:color="auto"/>
      </w:divBdr>
    </w:div>
    <w:div w:id="1168977772">
      <w:bodyDiv w:val="1"/>
      <w:marLeft w:val="0"/>
      <w:marRight w:val="0"/>
      <w:marTop w:val="0"/>
      <w:marBottom w:val="0"/>
      <w:divBdr>
        <w:top w:val="none" w:sz="0" w:space="0" w:color="auto"/>
        <w:left w:val="none" w:sz="0" w:space="0" w:color="auto"/>
        <w:bottom w:val="none" w:sz="0" w:space="0" w:color="auto"/>
        <w:right w:val="none" w:sz="0" w:space="0" w:color="auto"/>
      </w:divBdr>
    </w:div>
    <w:div w:id="1169179925">
      <w:bodyDiv w:val="1"/>
      <w:marLeft w:val="0"/>
      <w:marRight w:val="0"/>
      <w:marTop w:val="0"/>
      <w:marBottom w:val="0"/>
      <w:divBdr>
        <w:top w:val="none" w:sz="0" w:space="0" w:color="auto"/>
        <w:left w:val="none" w:sz="0" w:space="0" w:color="auto"/>
        <w:bottom w:val="none" w:sz="0" w:space="0" w:color="auto"/>
        <w:right w:val="none" w:sz="0" w:space="0" w:color="auto"/>
      </w:divBdr>
    </w:div>
    <w:div w:id="1170945575">
      <w:bodyDiv w:val="1"/>
      <w:marLeft w:val="0"/>
      <w:marRight w:val="0"/>
      <w:marTop w:val="0"/>
      <w:marBottom w:val="0"/>
      <w:divBdr>
        <w:top w:val="none" w:sz="0" w:space="0" w:color="auto"/>
        <w:left w:val="none" w:sz="0" w:space="0" w:color="auto"/>
        <w:bottom w:val="none" w:sz="0" w:space="0" w:color="auto"/>
        <w:right w:val="none" w:sz="0" w:space="0" w:color="auto"/>
      </w:divBdr>
    </w:div>
    <w:div w:id="1198397919">
      <w:bodyDiv w:val="1"/>
      <w:marLeft w:val="0"/>
      <w:marRight w:val="0"/>
      <w:marTop w:val="0"/>
      <w:marBottom w:val="0"/>
      <w:divBdr>
        <w:top w:val="none" w:sz="0" w:space="0" w:color="auto"/>
        <w:left w:val="none" w:sz="0" w:space="0" w:color="auto"/>
        <w:bottom w:val="none" w:sz="0" w:space="0" w:color="auto"/>
        <w:right w:val="none" w:sz="0" w:space="0" w:color="auto"/>
      </w:divBdr>
    </w:div>
    <w:div w:id="1198465284">
      <w:bodyDiv w:val="1"/>
      <w:marLeft w:val="0"/>
      <w:marRight w:val="0"/>
      <w:marTop w:val="0"/>
      <w:marBottom w:val="0"/>
      <w:divBdr>
        <w:top w:val="none" w:sz="0" w:space="0" w:color="auto"/>
        <w:left w:val="none" w:sz="0" w:space="0" w:color="auto"/>
        <w:bottom w:val="none" w:sz="0" w:space="0" w:color="auto"/>
        <w:right w:val="none" w:sz="0" w:space="0" w:color="auto"/>
      </w:divBdr>
    </w:div>
    <w:div w:id="1203981379">
      <w:bodyDiv w:val="1"/>
      <w:marLeft w:val="0"/>
      <w:marRight w:val="0"/>
      <w:marTop w:val="0"/>
      <w:marBottom w:val="0"/>
      <w:divBdr>
        <w:top w:val="none" w:sz="0" w:space="0" w:color="auto"/>
        <w:left w:val="none" w:sz="0" w:space="0" w:color="auto"/>
        <w:bottom w:val="none" w:sz="0" w:space="0" w:color="auto"/>
        <w:right w:val="none" w:sz="0" w:space="0" w:color="auto"/>
      </w:divBdr>
    </w:div>
    <w:div w:id="1276057282">
      <w:bodyDiv w:val="1"/>
      <w:marLeft w:val="0"/>
      <w:marRight w:val="0"/>
      <w:marTop w:val="0"/>
      <w:marBottom w:val="0"/>
      <w:divBdr>
        <w:top w:val="none" w:sz="0" w:space="0" w:color="auto"/>
        <w:left w:val="none" w:sz="0" w:space="0" w:color="auto"/>
        <w:bottom w:val="none" w:sz="0" w:space="0" w:color="auto"/>
        <w:right w:val="none" w:sz="0" w:space="0" w:color="auto"/>
      </w:divBdr>
    </w:div>
    <w:div w:id="1281649154">
      <w:bodyDiv w:val="1"/>
      <w:marLeft w:val="0"/>
      <w:marRight w:val="0"/>
      <w:marTop w:val="0"/>
      <w:marBottom w:val="0"/>
      <w:divBdr>
        <w:top w:val="none" w:sz="0" w:space="0" w:color="auto"/>
        <w:left w:val="none" w:sz="0" w:space="0" w:color="auto"/>
        <w:bottom w:val="none" w:sz="0" w:space="0" w:color="auto"/>
        <w:right w:val="none" w:sz="0" w:space="0" w:color="auto"/>
      </w:divBdr>
    </w:div>
    <w:div w:id="1284312725">
      <w:bodyDiv w:val="1"/>
      <w:marLeft w:val="0"/>
      <w:marRight w:val="0"/>
      <w:marTop w:val="0"/>
      <w:marBottom w:val="0"/>
      <w:divBdr>
        <w:top w:val="none" w:sz="0" w:space="0" w:color="auto"/>
        <w:left w:val="none" w:sz="0" w:space="0" w:color="auto"/>
        <w:bottom w:val="none" w:sz="0" w:space="0" w:color="auto"/>
        <w:right w:val="none" w:sz="0" w:space="0" w:color="auto"/>
      </w:divBdr>
    </w:div>
    <w:div w:id="1306355314">
      <w:bodyDiv w:val="1"/>
      <w:marLeft w:val="0"/>
      <w:marRight w:val="0"/>
      <w:marTop w:val="0"/>
      <w:marBottom w:val="0"/>
      <w:divBdr>
        <w:top w:val="none" w:sz="0" w:space="0" w:color="auto"/>
        <w:left w:val="none" w:sz="0" w:space="0" w:color="auto"/>
        <w:bottom w:val="none" w:sz="0" w:space="0" w:color="auto"/>
        <w:right w:val="none" w:sz="0" w:space="0" w:color="auto"/>
      </w:divBdr>
    </w:div>
    <w:div w:id="1319043538">
      <w:bodyDiv w:val="1"/>
      <w:marLeft w:val="0"/>
      <w:marRight w:val="0"/>
      <w:marTop w:val="0"/>
      <w:marBottom w:val="0"/>
      <w:divBdr>
        <w:top w:val="none" w:sz="0" w:space="0" w:color="auto"/>
        <w:left w:val="none" w:sz="0" w:space="0" w:color="auto"/>
        <w:bottom w:val="none" w:sz="0" w:space="0" w:color="auto"/>
        <w:right w:val="none" w:sz="0" w:space="0" w:color="auto"/>
      </w:divBdr>
    </w:div>
    <w:div w:id="1356807109">
      <w:bodyDiv w:val="1"/>
      <w:marLeft w:val="0"/>
      <w:marRight w:val="0"/>
      <w:marTop w:val="0"/>
      <w:marBottom w:val="0"/>
      <w:divBdr>
        <w:top w:val="none" w:sz="0" w:space="0" w:color="auto"/>
        <w:left w:val="none" w:sz="0" w:space="0" w:color="auto"/>
        <w:bottom w:val="none" w:sz="0" w:space="0" w:color="auto"/>
        <w:right w:val="none" w:sz="0" w:space="0" w:color="auto"/>
      </w:divBdr>
    </w:div>
    <w:div w:id="1383747846">
      <w:bodyDiv w:val="1"/>
      <w:marLeft w:val="0"/>
      <w:marRight w:val="0"/>
      <w:marTop w:val="0"/>
      <w:marBottom w:val="0"/>
      <w:divBdr>
        <w:top w:val="none" w:sz="0" w:space="0" w:color="auto"/>
        <w:left w:val="none" w:sz="0" w:space="0" w:color="auto"/>
        <w:bottom w:val="none" w:sz="0" w:space="0" w:color="auto"/>
        <w:right w:val="none" w:sz="0" w:space="0" w:color="auto"/>
      </w:divBdr>
    </w:div>
    <w:div w:id="1441951910">
      <w:bodyDiv w:val="1"/>
      <w:marLeft w:val="0"/>
      <w:marRight w:val="0"/>
      <w:marTop w:val="0"/>
      <w:marBottom w:val="0"/>
      <w:divBdr>
        <w:top w:val="none" w:sz="0" w:space="0" w:color="auto"/>
        <w:left w:val="none" w:sz="0" w:space="0" w:color="auto"/>
        <w:bottom w:val="none" w:sz="0" w:space="0" w:color="auto"/>
        <w:right w:val="none" w:sz="0" w:space="0" w:color="auto"/>
      </w:divBdr>
    </w:div>
    <w:div w:id="1473864224">
      <w:bodyDiv w:val="1"/>
      <w:marLeft w:val="0"/>
      <w:marRight w:val="0"/>
      <w:marTop w:val="0"/>
      <w:marBottom w:val="0"/>
      <w:divBdr>
        <w:top w:val="none" w:sz="0" w:space="0" w:color="auto"/>
        <w:left w:val="none" w:sz="0" w:space="0" w:color="auto"/>
        <w:bottom w:val="none" w:sz="0" w:space="0" w:color="auto"/>
        <w:right w:val="none" w:sz="0" w:space="0" w:color="auto"/>
      </w:divBdr>
    </w:div>
    <w:div w:id="1474325879">
      <w:bodyDiv w:val="1"/>
      <w:marLeft w:val="0"/>
      <w:marRight w:val="0"/>
      <w:marTop w:val="0"/>
      <w:marBottom w:val="0"/>
      <w:divBdr>
        <w:top w:val="none" w:sz="0" w:space="0" w:color="auto"/>
        <w:left w:val="none" w:sz="0" w:space="0" w:color="auto"/>
        <w:bottom w:val="none" w:sz="0" w:space="0" w:color="auto"/>
        <w:right w:val="none" w:sz="0" w:space="0" w:color="auto"/>
      </w:divBdr>
    </w:div>
    <w:div w:id="1485312314">
      <w:bodyDiv w:val="1"/>
      <w:marLeft w:val="0"/>
      <w:marRight w:val="0"/>
      <w:marTop w:val="0"/>
      <w:marBottom w:val="0"/>
      <w:divBdr>
        <w:top w:val="none" w:sz="0" w:space="0" w:color="auto"/>
        <w:left w:val="none" w:sz="0" w:space="0" w:color="auto"/>
        <w:bottom w:val="none" w:sz="0" w:space="0" w:color="auto"/>
        <w:right w:val="none" w:sz="0" w:space="0" w:color="auto"/>
      </w:divBdr>
    </w:div>
    <w:div w:id="1498036862">
      <w:bodyDiv w:val="1"/>
      <w:marLeft w:val="0"/>
      <w:marRight w:val="0"/>
      <w:marTop w:val="0"/>
      <w:marBottom w:val="0"/>
      <w:divBdr>
        <w:top w:val="none" w:sz="0" w:space="0" w:color="auto"/>
        <w:left w:val="none" w:sz="0" w:space="0" w:color="auto"/>
        <w:bottom w:val="none" w:sz="0" w:space="0" w:color="auto"/>
        <w:right w:val="none" w:sz="0" w:space="0" w:color="auto"/>
      </w:divBdr>
    </w:div>
    <w:div w:id="1519393044">
      <w:bodyDiv w:val="1"/>
      <w:marLeft w:val="0"/>
      <w:marRight w:val="0"/>
      <w:marTop w:val="0"/>
      <w:marBottom w:val="0"/>
      <w:divBdr>
        <w:top w:val="none" w:sz="0" w:space="0" w:color="auto"/>
        <w:left w:val="none" w:sz="0" w:space="0" w:color="auto"/>
        <w:bottom w:val="none" w:sz="0" w:space="0" w:color="auto"/>
        <w:right w:val="none" w:sz="0" w:space="0" w:color="auto"/>
      </w:divBdr>
    </w:div>
    <w:div w:id="1536382657">
      <w:bodyDiv w:val="1"/>
      <w:marLeft w:val="0"/>
      <w:marRight w:val="0"/>
      <w:marTop w:val="0"/>
      <w:marBottom w:val="0"/>
      <w:divBdr>
        <w:top w:val="none" w:sz="0" w:space="0" w:color="auto"/>
        <w:left w:val="none" w:sz="0" w:space="0" w:color="auto"/>
        <w:bottom w:val="none" w:sz="0" w:space="0" w:color="auto"/>
        <w:right w:val="none" w:sz="0" w:space="0" w:color="auto"/>
      </w:divBdr>
    </w:div>
    <w:div w:id="1542670091">
      <w:bodyDiv w:val="1"/>
      <w:marLeft w:val="0"/>
      <w:marRight w:val="0"/>
      <w:marTop w:val="0"/>
      <w:marBottom w:val="0"/>
      <w:divBdr>
        <w:top w:val="none" w:sz="0" w:space="0" w:color="auto"/>
        <w:left w:val="none" w:sz="0" w:space="0" w:color="auto"/>
        <w:bottom w:val="none" w:sz="0" w:space="0" w:color="auto"/>
        <w:right w:val="none" w:sz="0" w:space="0" w:color="auto"/>
      </w:divBdr>
    </w:div>
    <w:div w:id="1576939703">
      <w:bodyDiv w:val="1"/>
      <w:marLeft w:val="0"/>
      <w:marRight w:val="0"/>
      <w:marTop w:val="0"/>
      <w:marBottom w:val="0"/>
      <w:divBdr>
        <w:top w:val="none" w:sz="0" w:space="0" w:color="auto"/>
        <w:left w:val="none" w:sz="0" w:space="0" w:color="auto"/>
        <w:bottom w:val="none" w:sz="0" w:space="0" w:color="auto"/>
        <w:right w:val="none" w:sz="0" w:space="0" w:color="auto"/>
      </w:divBdr>
    </w:div>
    <w:div w:id="1579562111">
      <w:bodyDiv w:val="1"/>
      <w:marLeft w:val="0"/>
      <w:marRight w:val="0"/>
      <w:marTop w:val="0"/>
      <w:marBottom w:val="0"/>
      <w:divBdr>
        <w:top w:val="none" w:sz="0" w:space="0" w:color="auto"/>
        <w:left w:val="none" w:sz="0" w:space="0" w:color="auto"/>
        <w:bottom w:val="none" w:sz="0" w:space="0" w:color="auto"/>
        <w:right w:val="none" w:sz="0" w:space="0" w:color="auto"/>
      </w:divBdr>
    </w:div>
    <w:div w:id="1580209825">
      <w:bodyDiv w:val="1"/>
      <w:marLeft w:val="0"/>
      <w:marRight w:val="0"/>
      <w:marTop w:val="0"/>
      <w:marBottom w:val="0"/>
      <w:divBdr>
        <w:top w:val="none" w:sz="0" w:space="0" w:color="auto"/>
        <w:left w:val="none" w:sz="0" w:space="0" w:color="auto"/>
        <w:bottom w:val="none" w:sz="0" w:space="0" w:color="auto"/>
        <w:right w:val="none" w:sz="0" w:space="0" w:color="auto"/>
      </w:divBdr>
    </w:div>
    <w:div w:id="1587886536">
      <w:bodyDiv w:val="1"/>
      <w:marLeft w:val="0"/>
      <w:marRight w:val="0"/>
      <w:marTop w:val="0"/>
      <w:marBottom w:val="0"/>
      <w:divBdr>
        <w:top w:val="none" w:sz="0" w:space="0" w:color="auto"/>
        <w:left w:val="none" w:sz="0" w:space="0" w:color="auto"/>
        <w:bottom w:val="none" w:sz="0" w:space="0" w:color="auto"/>
        <w:right w:val="none" w:sz="0" w:space="0" w:color="auto"/>
      </w:divBdr>
    </w:div>
    <w:div w:id="1592622884">
      <w:bodyDiv w:val="1"/>
      <w:marLeft w:val="0"/>
      <w:marRight w:val="0"/>
      <w:marTop w:val="0"/>
      <w:marBottom w:val="0"/>
      <w:divBdr>
        <w:top w:val="none" w:sz="0" w:space="0" w:color="auto"/>
        <w:left w:val="none" w:sz="0" w:space="0" w:color="auto"/>
        <w:bottom w:val="none" w:sz="0" w:space="0" w:color="auto"/>
        <w:right w:val="none" w:sz="0" w:space="0" w:color="auto"/>
      </w:divBdr>
    </w:div>
    <w:div w:id="1593974976">
      <w:bodyDiv w:val="1"/>
      <w:marLeft w:val="0"/>
      <w:marRight w:val="0"/>
      <w:marTop w:val="0"/>
      <w:marBottom w:val="0"/>
      <w:divBdr>
        <w:top w:val="none" w:sz="0" w:space="0" w:color="auto"/>
        <w:left w:val="none" w:sz="0" w:space="0" w:color="auto"/>
        <w:bottom w:val="none" w:sz="0" w:space="0" w:color="auto"/>
        <w:right w:val="none" w:sz="0" w:space="0" w:color="auto"/>
      </w:divBdr>
    </w:div>
    <w:div w:id="1602105569">
      <w:bodyDiv w:val="1"/>
      <w:marLeft w:val="0"/>
      <w:marRight w:val="0"/>
      <w:marTop w:val="0"/>
      <w:marBottom w:val="0"/>
      <w:divBdr>
        <w:top w:val="none" w:sz="0" w:space="0" w:color="auto"/>
        <w:left w:val="none" w:sz="0" w:space="0" w:color="auto"/>
        <w:bottom w:val="none" w:sz="0" w:space="0" w:color="auto"/>
        <w:right w:val="none" w:sz="0" w:space="0" w:color="auto"/>
      </w:divBdr>
    </w:div>
    <w:div w:id="1617831701">
      <w:bodyDiv w:val="1"/>
      <w:marLeft w:val="0"/>
      <w:marRight w:val="0"/>
      <w:marTop w:val="0"/>
      <w:marBottom w:val="0"/>
      <w:divBdr>
        <w:top w:val="none" w:sz="0" w:space="0" w:color="auto"/>
        <w:left w:val="none" w:sz="0" w:space="0" w:color="auto"/>
        <w:bottom w:val="none" w:sz="0" w:space="0" w:color="auto"/>
        <w:right w:val="none" w:sz="0" w:space="0" w:color="auto"/>
      </w:divBdr>
    </w:div>
    <w:div w:id="1619213237">
      <w:bodyDiv w:val="1"/>
      <w:marLeft w:val="0"/>
      <w:marRight w:val="0"/>
      <w:marTop w:val="0"/>
      <w:marBottom w:val="0"/>
      <w:divBdr>
        <w:top w:val="none" w:sz="0" w:space="0" w:color="auto"/>
        <w:left w:val="none" w:sz="0" w:space="0" w:color="auto"/>
        <w:bottom w:val="none" w:sz="0" w:space="0" w:color="auto"/>
        <w:right w:val="none" w:sz="0" w:space="0" w:color="auto"/>
      </w:divBdr>
    </w:div>
    <w:div w:id="1626811996">
      <w:bodyDiv w:val="1"/>
      <w:marLeft w:val="0"/>
      <w:marRight w:val="0"/>
      <w:marTop w:val="0"/>
      <w:marBottom w:val="0"/>
      <w:divBdr>
        <w:top w:val="none" w:sz="0" w:space="0" w:color="auto"/>
        <w:left w:val="none" w:sz="0" w:space="0" w:color="auto"/>
        <w:bottom w:val="none" w:sz="0" w:space="0" w:color="auto"/>
        <w:right w:val="none" w:sz="0" w:space="0" w:color="auto"/>
      </w:divBdr>
    </w:div>
    <w:div w:id="1631786831">
      <w:bodyDiv w:val="1"/>
      <w:marLeft w:val="0"/>
      <w:marRight w:val="0"/>
      <w:marTop w:val="0"/>
      <w:marBottom w:val="0"/>
      <w:divBdr>
        <w:top w:val="none" w:sz="0" w:space="0" w:color="auto"/>
        <w:left w:val="none" w:sz="0" w:space="0" w:color="auto"/>
        <w:bottom w:val="none" w:sz="0" w:space="0" w:color="auto"/>
        <w:right w:val="none" w:sz="0" w:space="0" w:color="auto"/>
      </w:divBdr>
    </w:div>
    <w:div w:id="1656296272">
      <w:bodyDiv w:val="1"/>
      <w:marLeft w:val="0"/>
      <w:marRight w:val="0"/>
      <w:marTop w:val="0"/>
      <w:marBottom w:val="0"/>
      <w:divBdr>
        <w:top w:val="none" w:sz="0" w:space="0" w:color="auto"/>
        <w:left w:val="none" w:sz="0" w:space="0" w:color="auto"/>
        <w:bottom w:val="none" w:sz="0" w:space="0" w:color="auto"/>
        <w:right w:val="none" w:sz="0" w:space="0" w:color="auto"/>
      </w:divBdr>
    </w:div>
    <w:div w:id="1668626586">
      <w:bodyDiv w:val="1"/>
      <w:marLeft w:val="0"/>
      <w:marRight w:val="0"/>
      <w:marTop w:val="0"/>
      <w:marBottom w:val="0"/>
      <w:divBdr>
        <w:top w:val="none" w:sz="0" w:space="0" w:color="auto"/>
        <w:left w:val="none" w:sz="0" w:space="0" w:color="auto"/>
        <w:bottom w:val="none" w:sz="0" w:space="0" w:color="auto"/>
        <w:right w:val="none" w:sz="0" w:space="0" w:color="auto"/>
      </w:divBdr>
    </w:div>
    <w:div w:id="1686057951">
      <w:bodyDiv w:val="1"/>
      <w:marLeft w:val="0"/>
      <w:marRight w:val="0"/>
      <w:marTop w:val="0"/>
      <w:marBottom w:val="0"/>
      <w:divBdr>
        <w:top w:val="none" w:sz="0" w:space="0" w:color="auto"/>
        <w:left w:val="none" w:sz="0" w:space="0" w:color="auto"/>
        <w:bottom w:val="none" w:sz="0" w:space="0" w:color="auto"/>
        <w:right w:val="none" w:sz="0" w:space="0" w:color="auto"/>
      </w:divBdr>
    </w:div>
    <w:div w:id="1689718898">
      <w:bodyDiv w:val="1"/>
      <w:marLeft w:val="0"/>
      <w:marRight w:val="0"/>
      <w:marTop w:val="0"/>
      <w:marBottom w:val="0"/>
      <w:divBdr>
        <w:top w:val="none" w:sz="0" w:space="0" w:color="auto"/>
        <w:left w:val="none" w:sz="0" w:space="0" w:color="auto"/>
        <w:bottom w:val="none" w:sz="0" w:space="0" w:color="auto"/>
        <w:right w:val="none" w:sz="0" w:space="0" w:color="auto"/>
      </w:divBdr>
    </w:div>
    <w:div w:id="1691640150">
      <w:bodyDiv w:val="1"/>
      <w:marLeft w:val="0"/>
      <w:marRight w:val="0"/>
      <w:marTop w:val="0"/>
      <w:marBottom w:val="0"/>
      <w:divBdr>
        <w:top w:val="none" w:sz="0" w:space="0" w:color="auto"/>
        <w:left w:val="none" w:sz="0" w:space="0" w:color="auto"/>
        <w:bottom w:val="none" w:sz="0" w:space="0" w:color="auto"/>
        <w:right w:val="none" w:sz="0" w:space="0" w:color="auto"/>
      </w:divBdr>
    </w:div>
    <w:div w:id="1713922922">
      <w:bodyDiv w:val="1"/>
      <w:marLeft w:val="0"/>
      <w:marRight w:val="0"/>
      <w:marTop w:val="0"/>
      <w:marBottom w:val="0"/>
      <w:divBdr>
        <w:top w:val="none" w:sz="0" w:space="0" w:color="auto"/>
        <w:left w:val="none" w:sz="0" w:space="0" w:color="auto"/>
        <w:bottom w:val="none" w:sz="0" w:space="0" w:color="auto"/>
        <w:right w:val="none" w:sz="0" w:space="0" w:color="auto"/>
      </w:divBdr>
    </w:div>
    <w:div w:id="1714422698">
      <w:bodyDiv w:val="1"/>
      <w:marLeft w:val="0"/>
      <w:marRight w:val="0"/>
      <w:marTop w:val="0"/>
      <w:marBottom w:val="0"/>
      <w:divBdr>
        <w:top w:val="none" w:sz="0" w:space="0" w:color="auto"/>
        <w:left w:val="none" w:sz="0" w:space="0" w:color="auto"/>
        <w:bottom w:val="none" w:sz="0" w:space="0" w:color="auto"/>
        <w:right w:val="none" w:sz="0" w:space="0" w:color="auto"/>
      </w:divBdr>
    </w:div>
    <w:div w:id="1733308581">
      <w:bodyDiv w:val="1"/>
      <w:marLeft w:val="0"/>
      <w:marRight w:val="0"/>
      <w:marTop w:val="0"/>
      <w:marBottom w:val="0"/>
      <w:divBdr>
        <w:top w:val="none" w:sz="0" w:space="0" w:color="auto"/>
        <w:left w:val="none" w:sz="0" w:space="0" w:color="auto"/>
        <w:bottom w:val="none" w:sz="0" w:space="0" w:color="auto"/>
        <w:right w:val="none" w:sz="0" w:space="0" w:color="auto"/>
      </w:divBdr>
    </w:div>
    <w:div w:id="1748186018">
      <w:bodyDiv w:val="1"/>
      <w:marLeft w:val="0"/>
      <w:marRight w:val="0"/>
      <w:marTop w:val="0"/>
      <w:marBottom w:val="0"/>
      <w:divBdr>
        <w:top w:val="none" w:sz="0" w:space="0" w:color="auto"/>
        <w:left w:val="none" w:sz="0" w:space="0" w:color="auto"/>
        <w:bottom w:val="none" w:sz="0" w:space="0" w:color="auto"/>
        <w:right w:val="none" w:sz="0" w:space="0" w:color="auto"/>
      </w:divBdr>
    </w:div>
    <w:div w:id="1800613970">
      <w:bodyDiv w:val="1"/>
      <w:marLeft w:val="0"/>
      <w:marRight w:val="0"/>
      <w:marTop w:val="0"/>
      <w:marBottom w:val="0"/>
      <w:divBdr>
        <w:top w:val="none" w:sz="0" w:space="0" w:color="auto"/>
        <w:left w:val="none" w:sz="0" w:space="0" w:color="auto"/>
        <w:bottom w:val="none" w:sz="0" w:space="0" w:color="auto"/>
        <w:right w:val="none" w:sz="0" w:space="0" w:color="auto"/>
      </w:divBdr>
    </w:div>
    <w:div w:id="1805808166">
      <w:bodyDiv w:val="1"/>
      <w:marLeft w:val="0"/>
      <w:marRight w:val="0"/>
      <w:marTop w:val="0"/>
      <w:marBottom w:val="0"/>
      <w:divBdr>
        <w:top w:val="none" w:sz="0" w:space="0" w:color="auto"/>
        <w:left w:val="none" w:sz="0" w:space="0" w:color="auto"/>
        <w:bottom w:val="none" w:sz="0" w:space="0" w:color="auto"/>
        <w:right w:val="none" w:sz="0" w:space="0" w:color="auto"/>
      </w:divBdr>
    </w:div>
    <w:div w:id="1818762466">
      <w:bodyDiv w:val="1"/>
      <w:marLeft w:val="0"/>
      <w:marRight w:val="0"/>
      <w:marTop w:val="0"/>
      <w:marBottom w:val="0"/>
      <w:divBdr>
        <w:top w:val="none" w:sz="0" w:space="0" w:color="auto"/>
        <w:left w:val="none" w:sz="0" w:space="0" w:color="auto"/>
        <w:bottom w:val="none" w:sz="0" w:space="0" w:color="auto"/>
        <w:right w:val="none" w:sz="0" w:space="0" w:color="auto"/>
      </w:divBdr>
    </w:div>
    <w:div w:id="1820688019">
      <w:bodyDiv w:val="1"/>
      <w:marLeft w:val="0"/>
      <w:marRight w:val="0"/>
      <w:marTop w:val="0"/>
      <w:marBottom w:val="0"/>
      <w:divBdr>
        <w:top w:val="none" w:sz="0" w:space="0" w:color="auto"/>
        <w:left w:val="none" w:sz="0" w:space="0" w:color="auto"/>
        <w:bottom w:val="none" w:sz="0" w:space="0" w:color="auto"/>
        <w:right w:val="none" w:sz="0" w:space="0" w:color="auto"/>
      </w:divBdr>
    </w:div>
    <w:div w:id="1861897900">
      <w:bodyDiv w:val="1"/>
      <w:marLeft w:val="0"/>
      <w:marRight w:val="0"/>
      <w:marTop w:val="0"/>
      <w:marBottom w:val="0"/>
      <w:divBdr>
        <w:top w:val="none" w:sz="0" w:space="0" w:color="auto"/>
        <w:left w:val="none" w:sz="0" w:space="0" w:color="auto"/>
        <w:bottom w:val="none" w:sz="0" w:space="0" w:color="auto"/>
        <w:right w:val="none" w:sz="0" w:space="0" w:color="auto"/>
      </w:divBdr>
    </w:div>
    <w:div w:id="1862402097">
      <w:bodyDiv w:val="1"/>
      <w:marLeft w:val="0"/>
      <w:marRight w:val="0"/>
      <w:marTop w:val="0"/>
      <w:marBottom w:val="0"/>
      <w:divBdr>
        <w:top w:val="none" w:sz="0" w:space="0" w:color="auto"/>
        <w:left w:val="none" w:sz="0" w:space="0" w:color="auto"/>
        <w:bottom w:val="none" w:sz="0" w:space="0" w:color="auto"/>
        <w:right w:val="none" w:sz="0" w:space="0" w:color="auto"/>
      </w:divBdr>
    </w:div>
    <w:div w:id="1866284603">
      <w:bodyDiv w:val="1"/>
      <w:marLeft w:val="0"/>
      <w:marRight w:val="0"/>
      <w:marTop w:val="0"/>
      <w:marBottom w:val="0"/>
      <w:divBdr>
        <w:top w:val="none" w:sz="0" w:space="0" w:color="auto"/>
        <w:left w:val="none" w:sz="0" w:space="0" w:color="auto"/>
        <w:bottom w:val="none" w:sz="0" w:space="0" w:color="auto"/>
        <w:right w:val="none" w:sz="0" w:space="0" w:color="auto"/>
      </w:divBdr>
    </w:div>
    <w:div w:id="1889801273">
      <w:bodyDiv w:val="1"/>
      <w:marLeft w:val="0"/>
      <w:marRight w:val="0"/>
      <w:marTop w:val="0"/>
      <w:marBottom w:val="0"/>
      <w:divBdr>
        <w:top w:val="none" w:sz="0" w:space="0" w:color="auto"/>
        <w:left w:val="none" w:sz="0" w:space="0" w:color="auto"/>
        <w:bottom w:val="none" w:sz="0" w:space="0" w:color="auto"/>
        <w:right w:val="none" w:sz="0" w:space="0" w:color="auto"/>
      </w:divBdr>
    </w:div>
    <w:div w:id="1900749039">
      <w:bodyDiv w:val="1"/>
      <w:marLeft w:val="0"/>
      <w:marRight w:val="0"/>
      <w:marTop w:val="0"/>
      <w:marBottom w:val="0"/>
      <w:divBdr>
        <w:top w:val="none" w:sz="0" w:space="0" w:color="auto"/>
        <w:left w:val="none" w:sz="0" w:space="0" w:color="auto"/>
        <w:bottom w:val="none" w:sz="0" w:space="0" w:color="auto"/>
        <w:right w:val="none" w:sz="0" w:space="0" w:color="auto"/>
      </w:divBdr>
    </w:div>
    <w:div w:id="1904832408">
      <w:bodyDiv w:val="1"/>
      <w:marLeft w:val="0"/>
      <w:marRight w:val="0"/>
      <w:marTop w:val="0"/>
      <w:marBottom w:val="0"/>
      <w:divBdr>
        <w:top w:val="none" w:sz="0" w:space="0" w:color="auto"/>
        <w:left w:val="none" w:sz="0" w:space="0" w:color="auto"/>
        <w:bottom w:val="none" w:sz="0" w:space="0" w:color="auto"/>
        <w:right w:val="none" w:sz="0" w:space="0" w:color="auto"/>
      </w:divBdr>
    </w:div>
    <w:div w:id="1938173550">
      <w:bodyDiv w:val="1"/>
      <w:marLeft w:val="0"/>
      <w:marRight w:val="0"/>
      <w:marTop w:val="0"/>
      <w:marBottom w:val="0"/>
      <w:divBdr>
        <w:top w:val="none" w:sz="0" w:space="0" w:color="auto"/>
        <w:left w:val="none" w:sz="0" w:space="0" w:color="auto"/>
        <w:bottom w:val="none" w:sz="0" w:space="0" w:color="auto"/>
        <w:right w:val="none" w:sz="0" w:space="0" w:color="auto"/>
      </w:divBdr>
    </w:div>
    <w:div w:id="1957717004">
      <w:bodyDiv w:val="1"/>
      <w:marLeft w:val="0"/>
      <w:marRight w:val="0"/>
      <w:marTop w:val="0"/>
      <w:marBottom w:val="0"/>
      <w:divBdr>
        <w:top w:val="none" w:sz="0" w:space="0" w:color="auto"/>
        <w:left w:val="none" w:sz="0" w:space="0" w:color="auto"/>
        <w:bottom w:val="none" w:sz="0" w:space="0" w:color="auto"/>
        <w:right w:val="none" w:sz="0" w:space="0" w:color="auto"/>
      </w:divBdr>
    </w:div>
    <w:div w:id="2005278781">
      <w:bodyDiv w:val="1"/>
      <w:marLeft w:val="0"/>
      <w:marRight w:val="0"/>
      <w:marTop w:val="0"/>
      <w:marBottom w:val="0"/>
      <w:divBdr>
        <w:top w:val="none" w:sz="0" w:space="0" w:color="auto"/>
        <w:left w:val="none" w:sz="0" w:space="0" w:color="auto"/>
        <w:bottom w:val="none" w:sz="0" w:space="0" w:color="auto"/>
        <w:right w:val="none" w:sz="0" w:space="0" w:color="auto"/>
      </w:divBdr>
    </w:div>
    <w:div w:id="2016229026">
      <w:bodyDiv w:val="1"/>
      <w:marLeft w:val="0"/>
      <w:marRight w:val="0"/>
      <w:marTop w:val="0"/>
      <w:marBottom w:val="0"/>
      <w:divBdr>
        <w:top w:val="none" w:sz="0" w:space="0" w:color="auto"/>
        <w:left w:val="none" w:sz="0" w:space="0" w:color="auto"/>
        <w:bottom w:val="none" w:sz="0" w:space="0" w:color="auto"/>
        <w:right w:val="none" w:sz="0" w:space="0" w:color="auto"/>
      </w:divBdr>
    </w:div>
    <w:div w:id="2038264043">
      <w:bodyDiv w:val="1"/>
      <w:marLeft w:val="0"/>
      <w:marRight w:val="0"/>
      <w:marTop w:val="0"/>
      <w:marBottom w:val="0"/>
      <w:divBdr>
        <w:top w:val="none" w:sz="0" w:space="0" w:color="auto"/>
        <w:left w:val="none" w:sz="0" w:space="0" w:color="auto"/>
        <w:bottom w:val="none" w:sz="0" w:space="0" w:color="auto"/>
        <w:right w:val="none" w:sz="0" w:space="0" w:color="auto"/>
      </w:divBdr>
    </w:div>
    <w:div w:id="2058891123">
      <w:bodyDiv w:val="1"/>
      <w:marLeft w:val="0"/>
      <w:marRight w:val="0"/>
      <w:marTop w:val="0"/>
      <w:marBottom w:val="0"/>
      <w:divBdr>
        <w:top w:val="none" w:sz="0" w:space="0" w:color="auto"/>
        <w:left w:val="none" w:sz="0" w:space="0" w:color="auto"/>
        <w:bottom w:val="none" w:sz="0" w:space="0" w:color="auto"/>
        <w:right w:val="none" w:sz="0" w:space="0" w:color="auto"/>
      </w:divBdr>
    </w:div>
    <w:div w:id="2066709792">
      <w:bodyDiv w:val="1"/>
      <w:marLeft w:val="0"/>
      <w:marRight w:val="0"/>
      <w:marTop w:val="0"/>
      <w:marBottom w:val="0"/>
      <w:divBdr>
        <w:top w:val="none" w:sz="0" w:space="0" w:color="auto"/>
        <w:left w:val="none" w:sz="0" w:space="0" w:color="auto"/>
        <w:bottom w:val="none" w:sz="0" w:space="0" w:color="auto"/>
        <w:right w:val="none" w:sz="0" w:space="0" w:color="auto"/>
      </w:divBdr>
    </w:div>
    <w:div w:id="2073506901">
      <w:bodyDiv w:val="1"/>
      <w:marLeft w:val="0"/>
      <w:marRight w:val="0"/>
      <w:marTop w:val="0"/>
      <w:marBottom w:val="0"/>
      <w:divBdr>
        <w:top w:val="none" w:sz="0" w:space="0" w:color="auto"/>
        <w:left w:val="none" w:sz="0" w:space="0" w:color="auto"/>
        <w:bottom w:val="none" w:sz="0" w:space="0" w:color="auto"/>
        <w:right w:val="none" w:sz="0" w:space="0" w:color="auto"/>
      </w:divBdr>
    </w:div>
    <w:div w:id="2083133713">
      <w:bodyDiv w:val="1"/>
      <w:marLeft w:val="0"/>
      <w:marRight w:val="0"/>
      <w:marTop w:val="0"/>
      <w:marBottom w:val="0"/>
      <w:divBdr>
        <w:top w:val="none" w:sz="0" w:space="0" w:color="auto"/>
        <w:left w:val="none" w:sz="0" w:space="0" w:color="auto"/>
        <w:bottom w:val="none" w:sz="0" w:space="0" w:color="auto"/>
        <w:right w:val="none" w:sz="0" w:space="0" w:color="auto"/>
      </w:divBdr>
    </w:div>
    <w:div w:id="2084137198">
      <w:bodyDiv w:val="1"/>
      <w:marLeft w:val="0"/>
      <w:marRight w:val="0"/>
      <w:marTop w:val="0"/>
      <w:marBottom w:val="0"/>
      <w:divBdr>
        <w:top w:val="none" w:sz="0" w:space="0" w:color="auto"/>
        <w:left w:val="none" w:sz="0" w:space="0" w:color="auto"/>
        <w:bottom w:val="none" w:sz="0" w:space="0" w:color="auto"/>
        <w:right w:val="none" w:sz="0" w:space="0" w:color="auto"/>
      </w:divBdr>
    </w:div>
    <w:div w:id="2087219200">
      <w:bodyDiv w:val="1"/>
      <w:marLeft w:val="0"/>
      <w:marRight w:val="0"/>
      <w:marTop w:val="0"/>
      <w:marBottom w:val="0"/>
      <w:divBdr>
        <w:top w:val="none" w:sz="0" w:space="0" w:color="auto"/>
        <w:left w:val="none" w:sz="0" w:space="0" w:color="auto"/>
        <w:bottom w:val="none" w:sz="0" w:space="0" w:color="auto"/>
        <w:right w:val="none" w:sz="0" w:space="0" w:color="auto"/>
      </w:divBdr>
    </w:div>
    <w:div w:id="2094466603">
      <w:bodyDiv w:val="1"/>
      <w:marLeft w:val="0"/>
      <w:marRight w:val="0"/>
      <w:marTop w:val="0"/>
      <w:marBottom w:val="0"/>
      <w:divBdr>
        <w:top w:val="none" w:sz="0" w:space="0" w:color="auto"/>
        <w:left w:val="none" w:sz="0" w:space="0" w:color="auto"/>
        <w:bottom w:val="none" w:sz="0" w:space="0" w:color="auto"/>
        <w:right w:val="none" w:sz="0" w:space="0" w:color="auto"/>
      </w:divBdr>
    </w:div>
    <w:div w:id="2098137748">
      <w:bodyDiv w:val="1"/>
      <w:marLeft w:val="0"/>
      <w:marRight w:val="0"/>
      <w:marTop w:val="0"/>
      <w:marBottom w:val="0"/>
      <w:divBdr>
        <w:top w:val="none" w:sz="0" w:space="0" w:color="auto"/>
        <w:left w:val="none" w:sz="0" w:space="0" w:color="auto"/>
        <w:bottom w:val="none" w:sz="0" w:space="0" w:color="auto"/>
        <w:right w:val="none" w:sz="0" w:space="0" w:color="auto"/>
      </w:divBdr>
    </w:div>
    <w:div w:id="2106463851">
      <w:bodyDiv w:val="1"/>
      <w:marLeft w:val="0"/>
      <w:marRight w:val="0"/>
      <w:marTop w:val="0"/>
      <w:marBottom w:val="0"/>
      <w:divBdr>
        <w:top w:val="none" w:sz="0" w:space="0" w:color="auto"/>
        <w:left w:val="none" w:sz="0" w:space="0" w:color="auto"/>
        <w:bottom w:val="none" w:sz="0" w:space="0" w:color="auto"/>
        <w:right w:val="none" w:sz="0" w:space="0" w:color="auto"/>
      </w:divBdr>
    </w:div>
    <w:div w:id="213636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78823/ESF_2014-2020_Programme_Guidanc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ec.europa.eu/regional_policy/sources/docgener/informat/2014/guidance_management_verifications_en.pdf%20"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591617/ESF_Guidance_on_document_reten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F470359E</Template>
  <TotalTime>1</TotalTime>
  <Pages>16</Pages>
  <Words>5214</Words>
  <Characters>29721</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Robson, Alan</dc:creator>
  <cp:keywords/>
  <dc:description/>
  <cp:lastModifiedBy>Hogg, Nicolas</cp:lastModifiedBy>
  <cp:revision>2</cp:revision>
  <dcterms:created xsi:type="dcterms:W3CDTF">2017-07-10T14:48:00Z</dcterms:created>
  <dcterms:modified xsi:type="dcterms:W3CDTF">2017-07-10T14:48:00Z</dcterms:modified>
</cp:coreProperties>
</file>