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F3D4" w14:textId="22CFCEC4" w:rsidR="00733099" w:rsidRDefault="00666D83" w:rsidP="00021D79">
      <w:r w:rsidRPr="00F950EA">
        <w:rPr>
          <w:sz w:val="28"/>
          <w:szCs w:val="28"/>
        </w:rPr>
        <w:tab/>
      </w:r>
      <w:r w:rsidRPr="00F950EA">
        <w:rPr>
          <w:sz w:val="28"/>
          <w:szCs w:val="28"/>
        </w:rPr>
        <w:tab/>
      </w:r>
      <w:r w:rsidRPr="00F950EA">
        <w:rPr>
          <w:sz w:val="28"/>
          <w:szCs w:val="28"/>
        </w:rPr>
        <w:tab/>
      </w:r>
      <w:r w:rsidRPr="00F950EA">
        <w:rPr>
          <w:sz w:val="28"/>
          <w:szCs w:val="28"/>
        </w:rPr>
        <w:tab/>
      </w:r>
      <w:r w:rsidRPr="00F950EA">
        <w:rPr>
          <w:sz w:val="28"/>
          <w:szCs w:val="28"/>
        </w:rPr>
        <w:tab/>
      </w:r>
      <w:r w:rsidRPr="00F950EA">
        <w:rPr>
          <w:sz w:val="28"/>
          <w:szCs w:val="28"/>
        </w:rPr>
        <w:tab/>
      </w:r>
      <w:r w:rsidRPr="00F950EA">
        <w:rPr>
          <w:sz w:val="28"/>
          <w:szCs w:val="28"/>
        </w:rPr>
        <w:tab/>
      </w:r>
      <w:r w:rsidRPr="00F950EA">
        <w:rPr>
          <w:sz w:val="28"/>
          <w:szCs w:val="28"/>
        </w:rPr>
        <w:tab/>
      </w:r>
      <w:r w:rsidR="00F6422A" w:rsidRPr="00F950EA">
        <w:rPr>
          <w:noProof/>
          <w:color w:val="2B579A"/>
          <w:sz w:val="28"/>
          <w:szCs w:val="28"/>
          <w:shd w:val="clear" w:color="auto" w:fill="E6E6E6"/>
        </w:rPr>
        <w:drawing>
          <wp:anchor distT="0" distB="0" distL="114300" distR="114300" simplePos="0" relativeHeight="251659264" behindDoc="1" locked="1" layoutInCell="1" allowOverlap="1" wp14:anchorId="6CF1252B" wp14:editId="2DF23E0F">
            <wp:simplePos x="0" y="0"/>
            <wp:positionH relativeFrom="margin">
              <wp:posOffset>4513580</wp:posOffset>
            </wp:positionH>
            <wp:positionV relativeFrom="page">
              <wp:align>top</wp:align>
            </wp:positionV>
            <wp:extent cx="2404110" cy="1174750"/>
            <wp:effectExtent l="0" t="0" r="0" b="6350"/>
            <wp:wrapTight wrapText="bothSides">
              <wp:wrapPolygon edited="0">
                <wp:start x="0" y="0"/>
                <wp:lineTo x="0" y="21366"/>
                <wp:lineTo x="21395" y="21366"/>
                <wp:lineTo x="213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_CommunityFund_Logo_2018_RGB-BiL.jpg"/>
                    <pic:cNvPicPr/>
                  </pic:nvPicPr>
                  <pic:blipFill>
                    <a:blip r:embed="rId10"/>
                    <a:stretch>
                      <a:fillRect/>
                    </a:stretch>
                  </pic:blipFill>
                  <pic:spPr>
                    <a:xfrm>
                      <a:off x="0" y="0"/>
                      <a:ext cx="2404110" cy="1174750"/>
                    </a:xfrm>
                    <a:prstGeom prst="rect">
                      <a:avLst/>
                    </a:prstGeom>
                  </pic:spPr>
                </pic:pic>
              </a:graphicData>
            </a:graphic>
            <wp14:sizeRelH relativeFrom="page">
              <wp14:pctWidth>0</wp14:pctWidth>
            </wp14:sizeRelH>
            <wp14:sizeRelV relativeFrom="page">
              <wp14:pctHeight>0</wp14:pctHeight>
            </wp14:sizeRelV>
          </wp:anchor>
        </w:drawing>
      </w:r>
    </w:p>
    <w:p w14:paraId="554FC816" w14:textId="77777777" w:rsidR="00D8745E" w:rsidRDefault="00D8745E" w:rsidP="00D8745E">
      <w:pPr>
        <w:jc w:val="center"/>
        <w:rPr>
          <w:rFonts w:ascii="Trebuchet MS" w:hAnsi="Trebuchet MS"/>
          <w:b/>
          <w:bCs/>
          <w:sz w:val="24"/>
          <w:szCs w:val="24"/>
        </w:rPr>
      </w:pPr>
    </w:p>
    <w:p w14:paraId="23D8931A" w14:textId="3659A3E3" w:rsidR="00666D83" w:rsidRDefault="00666D83" w:rsidP="00D8745E">
      <w:pPr>
        <w:jc w:val="center"/>
        <w:rPr>
          <w:rFonts w:ascii="Trebuchet MS" w:hAnsi="Trebuchet MS"/>
          <w:b/>
          <w:bCs/>
          <w:sz w:val="24"/>
          <w:szCs w:val="24"/>
        </w:rPr>
      </w:pPr>
      <w:r w:rsidRPr="007A3A4F">
        <w:rPr>
          <w:rFonts w:ascii="Trebuchet MS" w:hAnsi="Trebuchet MS"/>
          <w:b/>
          <w:bCs/>
          <w:sz w:val="24"/>
          <w:szCs w:val="24"/>
        </w:rPr>
        <w:t xml:space="preserve">Resources from the </w:t>
      </w:r>
      <w:r w:rsidRPr="00D8745E">
        <w:rPr>
          <w:rFonts w:ascii="Trebuchet MS" w:hAnsi="Trebuchet MS"/>
          <w:b/>
          <w:bCs/>
          <w:color w:val="FF3399"/>
          <w:sz w:val="28"/>
          <w:szCs w:val="28"/>
        </w:rPr>
        <w:t>Ageing Better</w:t>
      </w:r>
      <w:r w:rsidRPr="00D8745E">
        <w:rPr>
          <w:rFonts w:ascii="Trebuchet MS" w:hAnsi="Trebuchet MS"/>
          <w:b/>
          <w:bCs/>
          <w:color w:val="FF3399"/>
          <w:sz w:val="24"/>
          <w:szCs w:val="24"/>
        </w:rPr>
        <w:t xml:space="preserve"> </w:t>
      </w:r>
      <w:r w:rsidRPr="007A3A4F">
        <w:rPr>
          <w:rFonts w:ascii="Trebuchet MS" w:hAnsi="Trebuchet MS"/>
          <w:b/>
          <w:bCs/>
          <w:sz w:val="24"/>
          <w:szCs w:val="24"/>
        </w:rPr>
        <w:t>Programme</w:t>
      </w:r>
    </w:p>
    <w:p w14:paraId="27F0FC81" w14:textId="77777777" w:rsidR="00AD0A4D" w:rsidRPr="007A3A4F" w:rsidRDefault="00AD0A4D" w:rsidP="00D8745E">
      <w:pPr>
        <w:jc w:val="center"/>
        <w:rPr>
          <w:rFonts w:ascii="Trebuchet MS" w:hAnsi="Trebuchet MS"/>
          <w:b/>
          <w:bCs/>
          <w:sz w:val="24"/>
          <w:szCs w:val="24"/>
        </w:rPr>
      </w:pPr>
    </w:p>
    <w:p w14:paraId="2895C60B" w14:textId="0282F1A1" w:rsidR="00B50267" w:rsidRDefault="00AE2910" w:rsidP="00AD0A4D">
      <w:hyperlink r:id="rId11" w:anchor="section-4" w:history="1">
        <w:r w:rsidR="00285B5C">
          <w:rPr>
            <w:rStyle w:val="Hyperlink"/>
          </w:rPr>
          <w:t>Ageing Better</w:t>
        </w:r>
      </w:hyperlink>
      <w:r w:rsidR="00285B5C">
        <w:t xml:space="preserve"> </w:t>
      </w:r>
      <w:r w:rsidR="009314A8">
        <w:t>is a</w:t>
      </w:r>
      <w:r w:rsidR="00374D0E">
        <w:t xml:space="preserve"> </w:t>
      </w:r>
      <w:r w:rsidR="00EE3A19">
        <w:t>seven-year, £87 million investment to improve the lives of people aged over 50</w:t>
      </w:r>
      <w:r w:rsidR="00AE487C">
        <w:t xml:space="preserve"> which began in </w:t>
      </w:r>
      <w:r w:rsidR="00DB74E9">
        <w:t>201</w:t>
      </w:r>
      <w:r w:rsidR="00030F4E">
        <w:t>5</w:t>
      </w:r>
      <w:r w:rsidR="00EE3A19">
        <w:t xml:space="preserve">. It is a </w:t>
      </w:r>
      <w:r w:rsidR="00374D0E">
        <w:t>test and learn programme</w:t>
      </w:r>
      <w:r w:rsidR="000474A4">
        <w:t xml:space="preserve"> and</w:t>
      </w:r>
      <w:r w:rsidR="00374D0E">
        <w:t xml:space="preserve"> is collecting information and insights from across 14 partnerships to identify learning that will be useful to other programmes and organisations delivering activities aimed at reducing social isolation in people aged 50+</w:t>
      </w:r>
      <w:r w:rsidR="00DE1026">
        <w:t>.</w:t>
      </w:r>
      <w:r w:rsidR="00A4734F">
        <w:t xml:space="preserve"> </w:t>
      </w:r>
      <w:r w:rsidR="00397E0B">
        <w:t xml:space="preserve">The programme has engaged nearly 150,000 </w:t>
      </w:r>
      <w:r w:rsidR="00F10891">
        <w:t>people and a</w:t>
      </w:r>
      <w:r w:rsidR="00D907BD">
        <w:t xml:space="preserve">lthough </w:t>
      </w:r>
      <w:r w:rsidR="00F10891">
        <w:t xml:space="preserve">it </w:t>
      </w:r>
      <w:r w:rsidR="00D907BD">
        <w:t xml:space="preserve">focuses on older people, many of the resources would be practical and adaptable for a range of age groups. </w:t>
      </w:r>
    </w:p>
    <w:tbl>
      <w:tblPr>
        <w:tblStyle w:val="TableGrid"/>
        <w:tblW w:w="10632" w:type="dxa"/>
        <w:tblInd w:w="-289" w:type="dxa"/>
        <w:tblLayout w:type="fixed"/>
        <w:tblLook w:val="04A0" w:firstRow="1" w:lastRow="0" w:firstColumn="1" w:lastColumn="0" w:noHBand="0" w:noVBand="1"/>
      </w:tblPr>
      <w:tblGrid>
        <w:gridCol w:w="1418"/>
        <w:gridCol w:w="5954"/>
        <w:gridCol w:w="1134"/>
        <w:gridCol w:w="2126"/>
      </w:tblGrid>
      <w:tr w:rsidR="007A3A4F" w14:paraId="15986AA0" w14:textId="77777777" w:rsidTr="00461283">
        <w:tc>
          <w:tcPr>
            <w:tcW w:w="10632" w:type="dxa"/>
            <w:gridSpan w:val="4"/>
          </w:tcPr>
          <w:p w14:paraId="07FD259B" w14:textId="38EFA1E1" w:rsidR="007A3A4F" w:rsidRDefault="007A3A4F" w:rsidP="00C16560">
            <w:pPr>
              <w:jc w:val="center"/>
            </w:pPr>
            <w:r w:rsidRPr="007A3A4F">
              <w:rPr>
                <w:b/>
                <w:bCs/>
              </w:rPr>
              <w:t>Key Resources:</w:t>
            </w:r>
          </w:p>
        </w:tc>
      </w:tr>
      <w:tr w:rsidR="003E02D9" w14:paraId="0AED06BF" w14:textId="77777777" w:rsidTr="00DE04C2">
        <w:tc>
          <w:tcPr>
            <w:tcW w:w="1418" w:type="dxa"/>
          </w:tcPr>
          <w:p w14:paraId="20ECCBBF" w14:textId="2B55FD3F" w:rsidR="003E02D9" w:rsidRPr="00021D79" w:rsidRDefault="003E02D9" w:rsidP="008A1F63">
            <w:pPr>
              <w:jc w:val="center"/>
            </w:pPr>
            <w:r w:rsidRPr="00021D79">
              <w:t>Topic</w:t>
            </w:r>
          </w:p>
        </w:tc>
        <w:tc>
          <w:tcPr>
            <w:tcW w:w="5954" w:type="dxa"/>
          </w:tcPr>
          <w:p w14:paraId="3751330E" w14:textId="326FFA43" w:rsidR="003E02D9" w:rsidRPr="00021D79" w:rsidRDefault="003E02D9" w:rsidP="008A1F63">
            <w:pPr>
              <w:jc w:val="center"/>
            </w:pPr>
            <w:r w:rsidRPr="00021D79">
              <w:t>About</w:t>
            </w:r>
          </w:p>
        </w:tc>
        <w:tc>
          <w:tcPr>
            <w:tcW w:w="1134" w:type="dxa"/>
          </w:tcPr>
          <w:p w14:paraId="412083AA" w14:textId="095DD3D9" w:rsidR="003E02D9" w:rsidRPr="00021D79" w:rsidRDefault="003E02D9" w:rsidP="008A1F63">
            <w:pPr>
              <w:jc w:val="center"/>
            </w:pPr>
            <w:r w:rsidRPr="00021D79">
              <w:t>Resource</w:t>
            </w:r>
          </w:p>
        </w:tc>
        <w:tc>
          <w:tcPr>
            <w:tcW w:w="2126" w:type="dxa"/>
          </w:tcPr>
          <w:p w14:paraId="1767F9F6" w14:textId="50124906" w:rsidR="003E02D9" w:rsidRPr="00021D79" w:rsidRDefault="003E02D9" w:rsidP="00C16560">
            <w:pPr>
              <w:jc w:val="center"/>
            </w:pPr>
            <w:r w:rsidRPr="00021D79">
              <w:t>Link</w:t>
            </w:r>
          </w:p>
        </w:tc>
      </w:tr>
      <w:tr w:rsidR="003E02D9" w14:paraId="40B020DA" w14:textId="77777777" w:rsidTr="00DE04C2">
        <w:tc>
          <w:tcPr>
            <w:tcW w:w="1418" w:type="dxa"/>
          </w:tcPr>
          <w:p w14:paraId="42287F97" w14:textId="7790DEBA" w:rsidR="003E02D9" w:rsidRDefault="003E02D9" w:rsidP="00C16560">
            <w:r>
              <w:t>Co-production</w:t>
            </w:r>
          </w:p>
        </w:tc>
        <w:tc>
          <w:tcPr>
            <w:tcW w:w="5954" w:type="dxa"/>
          </w:tcPr>
          <w:p w14:paraId="7B2A78FA" w14:textId="2DB847FE" w:rsidR="003E02D9" w:rsidRDefault="008C2C96" w:rsidP="00C16560">
            <w:r>
              <w:t>The toolkit is particularly useful to</w:t>
            </w:r>
            <w:r w:rsidR="00F45ED7">
              <w:t xml:space="preserve"> community development workers, community builders, commissioners, clinical health or wellbeing leads, community volunteers</w:t>
            </w:r>
            <w:r w:rsidR="003B6551">
              <w:t xml:space="preserve"> or indeed anyone who is interested in co-production. </w:t>
            </w:r>
            <w:r w:rsidR="002E67A7">
              <w:t xml:space="preserve">The toolkit </w:t>
            </w:r>
            <w:r w:rsidR="0075319E">
              <w:t>contains a wealth of resources organised into a range of folders</w:t>
            </w:r>
            <w:r w:rsidR="008A66EE">
              <w:t xml:space="preserve"> (Resource Library) offering</w:t>
            </w:r>
            <w:r w:rsidR="002E67A7">
              <w:t xml:space="preserve">: </w:t>
            </w:r>
          </w:p>
          <w:p w14:paraId="4CFA2F8C" w14:textId="77777777" w:rsidR="00D77460" w:rsidRDefault="00D77460" w:rsidP="00C16560"/>
          <w:p w14:paraId="64E50990" w14:textId="6ED75789" w:rsidR="00FE74A6" w:rsidRDefault="002E67A7" w:rsidP="00D77460">
            <w:pPr>
              <w:pStyle w:val="ListParagraph"/>
              <w:numPr>
                <w:ilvl w:val="0"/>
                <w:numId w:val="8"/>
              </w:numPr>
            </w:pPr>
            <w:r>
              <w:t xml:space="preserve">Information, </w:t>
            </w:r>
            <w:proofErr w:type="gramStart"/>
            <w:r>
              <w:t>tools</w:t>
            </w:r>
            <w:proofErr w:type="gramEnd"/>
            <w:r>
              <w:t xml:space="preserve"> and resources for understanding what co-production is and how to put it into practise</w:t>
            </w:r>
          </w:p>
          <w:p w14:paraId="56461E2D" w14:textId="2A67D6C7" w:rsidR="002E67A7" w:rsidRDefault="00270C07" w:rsidP="00D77460">
            <w:pPr>
              <w:pStyle w:val="ListParagraph"/>
              <w:numPr>
                <w:ilvl w:val="0"/>
                <w:numId w:val="8"/>
              </w:numPr>
            </w:pPr>
            <w:r>
              <w:t>I</w:t>
            </w:r>
            <w:r w:rsidR="002E67A7">
              <w:t>nspiration</w:t>
            </w:r>
            <w:r>
              <w:t xml:space="preserve"> for a specific vision or redesign of current ways of working</w:t>
            </w:r>
          </w:p>
          <w:p w14:paraId="6CA75E5E" w14:textId="7D142DF7" w:rsidR="00270C07" w:rsidRDefault="002830A0" w:rsidP="00D77460">
            <w:pPr>
              <w:pStyle w:val="ListParagraph"/>
              <w:numPr>
                <w:ilvl w:val="0"/>
                <w:numId w:val="8"/>
              </w:numPr>
            </w:pPr>
            <w:r>
              <w:t>E</w:t>
            </w:r>
            <w:r w:rsidR="00270C07">
              <w:t>vidence of good practise</w:t>
            </w:r>
          </w:p>
          <w:p w14:paraId="38D7ECCA" w14:textId="467BCAE1" w:rsidR="00270C07" w:rsidRDefault="00D75D47" w:rsidP="00D77460">
            <w:pPr>
              <w:pStyle w:val="ListParagraph"/>
              <w:numPr>
                <w:ilvl w:val="0"/>
                <w:numId w:val="8"/>
              </w:numPr>
            </w:pPr>
            <w:r>
              <w:t>Easily accessible</w:t>
            </w:r>
            <w:r w:rsidR="00182C6D">
              <w:t xml:space="preserve"> actionable, practical tools and ‘how to’ guides</w:t>
            </w:r>
          </w:p>
          <w:p w14:paraId="111DEEE6" w14:textId="11AEA694" w:rsidR="001D415F" w:rsidRDefault="009D08C3" w:rsidP="00192CD4">
            <w:pPr>
              <w:rPr>
                <w:i/>
                <w:iCs/>
              </w:rPr>
            </w:pPr>
            <w:r>
              <w:rPr>
                <w:i/>
                <w:iCs/>
              </w:rPr>
              <w:t xml:space="preserve">(Resource </w:t>
            </w:r>
            <w:r w:rsidR="00192CD4">
              <w:rPr>
                <w:i/>
                <w:iCs/>
              </w:rPr>
              <w:t>Library link can be found on slide 34 of the toolkit)</w:t>
            </w:r>
          </w:p>
          <w:p w14:paraId="7439444B" w14:textId="559E515D" w:rsidR="008A66EE" w:rsidRDefault="008A66EE" w:rsidP="00192CD4">
            <w:pPr>
              <w:rPr>
                <w:i/>
                <w:iCs/>
              </w:rPr>
            </w:pPr>
          </w:p>
          <w:p w14:paraId="7AFEC24D" w14:textId="77777777" w:rsidR="00C031CC" w:rsidRDefault="00DE30CC" w:rsidP="00192CD4">
            <w:r>
              <w:t xml:space="preserve">The Ageing Better in Leeds programme (Time to Shine) has also produced a </w:t>
            </w:r>
            <w:proofErr w:type="spellStart"/>
            <w:proofErr w:type="gramStart"/>
            <w:r>
              <w:t>stand alone</w:t>
            </w:r>
            <w:proofErr w:type="spellEnd"/>
            <w:proofErr w:type="gramEnd"/>
            <w:r>
              <w:t xml:space="preserve"> </w:t>
            </w:r>
            <w:r w:rsidR="00563760">
              <w:t>toolkit</w:t>
            </w:r>
            <w:r w:rsidR="007351A4">
              <w:t xml:space="preserve"> which provides a good overview and key things to consider</w:t>
            </w:r>
            <w:r w:rsidR="00A52583">
              <w:t>:</w:t>
            </w:r>
          </w:p>
          <w:p w14:paraId="35A45199" w14:textId="69158E3E" w:rsidR="008A66EE" w:rsidRPr="008A66EE" w:rsidRDefault="00AE2910" w:rsidP="00192CD4">
            <w:hyperlink r:id="rId12" w:history="1">
              <w:r w:rsidR="00A52583">
                <w:rPr>
                  <w:color w:val="0000FF"/>
                  <w:u w:val="single"/>
                </w:rPr>
                <w:t>Co-Production: A time to shine toolkit</w:t>
              </w:r>
            </w:hyperlink>
          </w:p>
          <w:p w14:paraId="26B39228" w14:textId="4FB2957E" w:rsidR="000D62E1" w:rsidRDefault="000D62E1" w:rsidP="00192CD4"/>
        </w:tc>
        <w:tc>
          <w:tcPr>
            <w:tcW w:w="1134" w:type="dxa"/>
          </w:tcPr>
          <w:p w14:paraId="51FADB40" w14:textId="4519002E" w:rsidR="003E02D9" w:rsidRDefault="003E02D9" w:rsidP="008A1F63">
            <w:pPr>
              <w:jc w:val="center"/>
            </w:pPr>
            <w:r>
              <w:t>Toolkit</w:t>
            </w:r>
          </w:p>
        </w:tc>
        <w:tc>
          <w:tcPr>
            <w:tcW w:w="2126" w:type="dxa"/>
          </w:tcPr>
          <w:p w14:paraId="4C8C9192" w14:textId="7EEFF7E8" w:rsidR="003E02D9" w:rsidRDefault="00AE2910" w:rsidP="00C16560">
            <w:pPr>
              <w:jc w:val="center"/>
              <w:rPr>
                <w:rStyle w:val="Hyperlink"/>
              </w:rPr>
            </w:pPr>
            <w:hyperlink r:id="rId13" w:history="1">
              <w:r w:rsidR="00914619">
                <w:rPr>
                  <w:rStyle w:val="Hyperlink"/>
                </w:rPr>
                <w:t>Stronger Together: A Co-production Toolkit from Ageing Better</w:t>
              </w:r>
            </w:hyperlink>
          </w:p>
          <w:p w14:paraId="577A2EFC" w14:textId="723EF9F3" w:rsidR="00167E03" w:rsidRDefault="00167E03" w:rsidP="00C16560">
            <w:pPr>
              <w:jc w:val="center"/>
              <w:rPr>
                <w:rStyle w:val="Hyperlink"/>
              </w:rPr>
            </w:pPr>
          </w:p>
          <w:p w14:paraId="7507DFDB" w14:textId="1E56BAD2" w:rsidR="001B01DC" w:rsidRDefault="001B01DC" w:rsidP="00C16560">
            <w:pPr>
              <w:jc w:val="center"/>
              <w:rPr>
                <w:rStyle w:val="Hyperlink"/>
              </w:rPr>
            </w:pPr>
          </w:p>
          <w:p w14:paraId="0049CD47" w14:textId="2A54DF1B" w:rsidR="001B01DC" w:rsidRDefault="001B01DC" w:rsidP="00C16560">
            <w:pPr>
              <w:jc w:val="center"/>
              <w:rPr>
                <w:rStyle w:val="Hyperlink"/>
              </w:rPr>
            </w:pPr>
          </w:p>
          <w:p w14:paraId="14FFDF23" w14:textId="371FF8CA" w:rsidR="001B01DC" w:rsidRDefault="001B01DC" w:rsidP="00C16560">
            <w:pPr>
              <w:jc w:val="center"/>
              <w:rPr>
                <w:rStyle w:val="Hyperlink"/>
              </w:rPr>
            </w:pPr>
          </w:p>
          <w:p w14:paraId="60982443" w14:textId="47B41819" w:rsidR="001B01DC" w:rsidRDefault="001B01DC" w:rsidP="00C16560">
            <w:pPr>
              <w:jc w:val="center"/>
              <w:rPr>
                <w:rStyle w:val="Hyperlink"/>
              </w:rPr>
            </w:pPr>
          </w:p>
          <w:p w14:paraId="630D574A" w14:textId="11DA946B" w:rsidR="001B01DC" w:rsidRDefault="001B01DC" w:rsidP="00C16560">
            <w:pPr>
              <w:jc w:val="center"/>
              <w:rPr>
                <w:rStyle w:val="Hyperlink"/>
              </w:rPr>
            </w:pPr>
          </w:p>
          <w:p w14:paraId="097C7AE1" w14:textId="0782D173" w:rsidR="001B01DC" w:rsidRDefault="001B01DC" w:rsidP="00C16560">
            <w:pPr>
              <w:jc w:val="center"/>
              <w:rPr>
                <w:rStyle w:val="Hyperlink"/>
              </w:rPr>
            </w:pPr>
          </w:p>
          <w:p w14:paraId="40A9D5BC" w14:textId="4E796689" w:rsidR="001B01DC" w:rsidRDefault="001B01DC" w:rsidP="00C16560">
            <w:pPr>
              <w:jc w:val="center"/>
              <w:rPr>
                <w:rStyle w:val="Hyperlink"/>
              </w:rPr>
            </w:pPr>
          </w:p>
          <w:p w14:paraId="225F7C6C" w14:textId="44350F3B" w:rsidR="001B01DC" w:rsidRDefault="001B01DC" w:rsidP="00C16560">
            <w:pPr>
              <w:jc w:val="center"/>
              <w:rPr>
                <w:rStyle w:val="Hyperlink"/>
              </w:rPr>
            </w:pPr>
          </w:p>
          <w:p w14:paraId="429615A9" w14:textId="12C9DC53" w:rsidR="001B01DC" w:rsidRDefault="001B01DC" w:rsidP="00C16560">
            <w:pPr>
              <w:jc w:val="center"/>
              <w:rPr>
                <w:rStyle w:val="Hyperlink"/>
              </w:rPr>
            </w:pPr>
          </w:p>
          <w:p w14:paraId="65160D27" w14:textId="1A03896E" w:rsidR="001B01DC" w:rsidRDefault="001B01DC" w:rsidP="00C16560">
            <w:pPr>
              <w:jc w:val="center"/>
              <w:rPr>
                <w:rStyle w:val="Hyperlink"/>
              </w:rPr>
            </w:pPr>
          </w:p>
          <w:p w14:paraId="14BC08E5" w14:textId="0CADFB0F" w:rsidR="001B01DC" w:rsidRDefault="001B01DC" w:rsidP="00C16560">
            <w:pPr>
              <w:jc w:val="center"/>
              <w:rPr>
                <w:rStyle w:val="Hyperlink"/>
              </w:rPr>
            </w:pPr>
          </w:p>
          <w:p w14:paraId="707E305D" w14:textId="77777777" w:rsidR="00167E03" w:rsidRDefault="00167E03" w:rsidP="00C16560">
            <w:pPr>
              <w:jc w:val="center"/>
              <w:rPr>
                <w:rStyle w:val="Hyperlink"/>
              </w:rPr>
            </w:pPr>
          </w:p>
          <w:p w14:paraId="1FBA1479" w14:textId="610CFC92" w:rsidR="00167E03" w:rsidRDefault="00167E03" w:rsidP="00C16560">
            <w:pPr>
              <w:jc w:val="center"/>
            </w:pPr>
          </w:p>
        </w:tc>
      </w:tr>
      <w:tr w:rsidR="003E02D9" w14:paraId="06B8FD4A" w14:textId="77777777" w:rsidTr="00DE04C2">
        <w:tc>
          <w:tcPr>
            <w:tcW w:w="1418" w:type="dxa"/>
          </w:tcPr>
          <w:p w14:paraId="78076554" w14:textId="57532491" w:rsidR="003E02D9" w:rsidRDefault="003E02D9" w:rsidP="00C16560">
            <w:r>
              <w:t>Warm Welcome</w:t>
            </w:r>
          </w:p>
        </w:tc>
        <w:tc>
          <w:tcPr>
            <w:tcW w:w="5954" w:type="dxa"/>
          </w:tcPr>
          <w:p w14:paraId="5E908620" w14:textId="0F4289C3" w:rsidR="003E02D9" w:rsidRDefault="003E02D9" w:rsidP="00C16560">
            <w:r>
              <w:t xml:space="preserve">Being welcomed to a community activity has a big impact on </w:t>
            </w:r>
            <w:proofErr w:type="gramStart"/>
            <w:r>
              <w:t>whether or not</w:t>
            </w:r>
            <w:proofErr w:type="gramEnd"/>
            <w:r>
              <w:t xml:space="preserve"> a person will return and therefore a warm welcome is considered essential when encouraging people to take part in activities. This toolkit is aimed at activity </w:t>
            </w:r>
            <w:r w:rsidR="009243EF">
              <w:t>providers,</w:t>
            </w:r>
            <w:r>
              <w:t xml:space="preserve"> and it provides information and resources to support the running of 'Warm Welcome' activity. </w:t>
            </w:r>
            <w:r w:rsidR="0094617A">
              <w:t>This toolkit would work well for any community group activity. It</w:t>
            </w:r>
            <w:r>
              <w:t xml:space="preserve"> contains a wide range of useful resources including:</w:t>
            </w:r>
          </w:p>
          <w:p w14:paraId="5FD44FF5" w14:textId="77777777" w:rsidR="003E02D9" w:rsidRDefault="003E02D9" w:rsidP="00C16560"/>
          <w:p w14:paraId="697653E9" w14:textId="45513E9B" w:rsidR="003E02D9" w:rsidRDefault="003E02D9" w:rsidP="00C16560">
            <w:pPr>
              <w:pStyle w:val="ListParagraph"/>
              <w:numPr>
                <w:ilvl w:val="0"/>
                <w:numId w:val="1"/>
              </w:numPr>
            </w:pPr>
            <w:r>
              <w:t>A range of checklists for staff/volunteers</w:t>
            </w:r>
          </w:p>
          <w:p w14:paraId="7B7E0D20" w14:textId="0153E140" w:rsidR="003E02D9" w:rsidRDefault="003E02D9" w:rsidP="00C16560">
            <w:pPr>
              <w:pStyle w:val="ListParagraph"/>
              <w:numPr>
                <w:ilvl w:val="0"/>
                <w:numId w:val="1"/>
              </w:numPr>
            </w:pPr>
            <w:r>
              <w:t>Top Tips including ‘Meeting and Greeting’</w:t>
            </w:r>
            <w:r w:rsidR="00730934">
              <w:t xml:space="preserve"> and promoting an </w:t>
            </w:r>
            <w:r w:rsidR="00FA30FC">
              <w:t>activity correctly</w:t>
            </w:r>
          </w:p>
          <w:p w14:paraId="2DCA6BA7" w14:textId="68276D27" w:rsidR="003E02D9" w:rsidRDefault="003E02D9" w:rsidP="00C16560">
            <w:pPr>
              <w:pStyle w:val="ListParagraph"/>
              <w:numPr>
                <w:ilvl w:val="0"/>
                <w:numId w:val="1"/>
              </w:numPr>
            </w:pPr>
            <w:r>
              <w:t>Case studies</w:t>
            </w:r>
            <w:r w:rsidR="00B47BBC">
              <w:t xml:space="preserve"> including Engaging with Men and BAME communities</w:t>
            </w:r>
          </w:p>
          <w:p w14:paraId="4990B637" w14:textId="0B3264F2" w:rsidR="003E02D9" w:rsidRDefault="003E02D9" w:rsidP="00C16560">
            <w:pPr>
              <w:pStyle w:val="ListParagraph"/>
              <w:numPr>
                <w:ilvl w:val="0"/>
                <w:numId w:val="1"/>
              </w:numPr>
            </w:pPr>
            <w:r>
              <w:t>Ideas for icebreakers, seating arrangements, building in time for chatting</w:t>
            </w:r>
          </w:p>
          <w:p w14:paraId="4FAB3FEF" w14:textId="02E4C051" w:rsidR="003E02D9" w:rsidRDefault="003E02D9" w:rsidP="00C16560">
            <w:pPr>
              <w:pStyle w:val="ListParagraph"/>
              <w:numPr>
                <w:ilvl w:val="0"/>
                <w:numId w:val="1"/>
              </w:numPr>
            </w:pPr>
            <w:r>
              <w:t>Training scenarios for staff</w:t>
            </w:r>
          </w:p>
          <w:p w14:paraId="4EC74D57" w14:textId="74C4BC53" w:rsidR="001D415F" w:rsidRDefault="001D415F" w:rsidP="0090243E">
            <w:pPr>
              <w:pStyle w:val="ListParagraph"/>
            </w:pPr>
          </w:p>
        </w:tc>
        <w:tc>
          <w:tcPr>
            <w:tcW w:w="1134" w:type="dxa"/>
          </w:tcPr>
          <w:p w14:paraId="4EEED39A" w14:textId="72CEBCB5" w:rsidR="003E02D9" w:rsidRDefault="003E02D9" w:rsidP="008A1F63">
            <w:pPr>
              <w:jc w:val="center"/>
            </w:pPr>
            <w:r>
              <w:t>Toolkit</w:t>
            </w:r>
          </w:p>
        </w:tc>
        <w:tc>
          <w:tcPr>
            <w:tcW w:w="2126" w:type="dxa"/>
          </w:tcPr>
          <w:p w14:paraId="3B38A259" w14:textId="083D51F2" w:rsidR="003E02D9" w:rsidRDefault="00AE2910" w:rsidP="00C16560">
            <w:pPr>
              <w:jc w:val="center"/>
            </w:pPr>
            <w:hyperlink r:id="rId14" w:history="1">
              <w:r w:rsidR="003E02D9">
                <w:rPr>
                  <w:rStyle w:val="Hyperlink"/>
                </w:rPr>
                <w:t>The Warm Welcome Toolkit: A guide to running welcoming community activities with older people</w:t>
              </w:r>
            </w:hyperlink>
          </w:p>
        </w:tc>
      </w:tr>
    </w:tbl>
    <w:p w14:paraId="48A6D737" w14:textId="6655D91F" w:rsidR="00773ADF" w:rsidRDefault="00773ADF"/>
    <w:tbl>
      <w:tblPr>
        <w:tblStyle w:val="TableGrid"/>
        <w:tblW w:w="10490" w:type="dxa"/>
        <w:tblInd w:w="-289" w:type="dxa"/>
        <w:tblLayout w:type="fixed"/>
        <w:tblLook w:val="04A0" w:firstRow="1" w:lastRow="0" w:firstColumn="1" w:lastColumn="0" w:noHBand="0" w:noVBand="1"/>
      </w:tblPr>
      <w:tblGrid>
        <w:gridCol w:w="1418"/>
        <w:gridCol w:w="6663"/>
        <w:gridCol w:w="2409"/>
      </w:tblGrid>
      <w:tr w:rsidR="00B6220E" w14:paraId="23C1F67B" w14:textId="77777777" w:rsidTr="00B6220E">
        <w:tc>
          <w:tcPr>
            <w:tcW w:w="1418" w:type="dxa"/>
          </w:tcPr>
          <w:p w14:paraId="6461207D" w14:textId="3D61056C" w:rsidR="00B6220E" w:rsidRDefault="00B6220E" w:rsidP="00AF78AF">
            <w:r>
              <w:t>Topic</w:t>
            </w:r>
          </w:p>
        </w:tc>
        <w:tc>
          <w:tcPr>
            <w:tcW w:w="6663" w:type="dxa"/>
          </w:tcPr>
          <w:p w14:paraId="7D283B64" w14:textId="77777777" w:rsidR="00B6220E" w:rsidRDefault="00B6220E" w:rsidP="00AF78AF">
            <w:r>
              <w:t>About</w:t>
            </w:r>
          </w:p>
        </w:tc>
        <w:tc>
          <w:tcPr>
            <w:tcW w:w="2409" w:type="dxa"/>
          </w:tcPr>
          <w:p w14:paraId="17048729" w14:textId="77777777" w:rsidR="00B6220E" w:rsidRDefault="00B6220E" w:rsidP="00AF78AF">
            <w:r>
              <w:t>Link</w:t>
            </w:r>
          </w:p>
        </w:tc>
      </w:tr>
      <w:tr w:rsidR="00B6220E" w14:paraId="0E2B39BD" w14:textId="77777777" w:rsidTr="00B6220E">
        <w:tc>
          <w:tcPr>
            <w:tcW w:w="1418" w:type="dxa"/>
            <w:shd w:val="clear" w:color="auto" w:fill="FFFFFF" w:themeFill="background1"/>
          </w:tcPr>
          <w:p w14:paraId="63198434" w14:textId="77777777" w:rsidR="00B6220E" w:rsidRDefault="00B6220E" w:rsidP="00AF78AF">
            <w:r>
              <w:t>Involving Men</w:t>
            </w:r>
          </w:p>
        </w:tc>
        <w:tc>
          <w:tcPr>
            <w:tcW w:w="6663" w:type="dxa"/>
          </w:tcPr>
          <w:p w14:paraId="64F1AF95" w14:textId="7AE28D99" w:rsidR="00B6220E" w:rsidRDefault="00B6220E" w:rsidP="00AF78AF">
            <w:r>
              <w:t>This guide gives practical advice for getting men involved in activities to address loneliness and social isolation including:</w:t>
            </w:r>
          </w:p>
          <w:p w14:paraId="26E9C82A" w14:textId="77777777" w:rsidR="00B6220E" w:rsidRDefault="00B6220E" w:rsidP="00AF78AF"/>
          <w:p w14:paraId="71B0AF59" w14:textId="77777777" w:rsidR="00B6220E" w:rsidRDefault="00B6220E" w:rsidP="00AF78AF">
            <w:pPr>
              <w:pStyle w:val="ListParagraph"/>
              <w:numPr>
                <w:ilvl w:val="0"/>
                <w:numId w:val="6"/>
              </w:numPr>
            </w:pPr>
            <w:r>
              <w:t>Barriers for men getting involved</w:t>
            </w:r>
          </w:p>
          <w:p w14:paraId="2243DD19" w14:textId="77777777" w:rsidR="00B6220E" w:rsidRDefault="00B6220E" w:rsidP="00AF78AF">
            <w:pPr>
              <w:pStyle w:val="ListParagraph"/>
              <w:numPr>
                <w:ilvl w:val="0"/>
                <w:numId w:val="6"/>
              </w:numPr>
            </w:pPr>
            <w:r>
              <w:t>Top tips for getting men to attend your group</w:t>
            </w:r>
          </w:p>
          <w:p w14:paraId="2085D3FD" w14:textId="77777777" w:rsidR="00B6220E" w:rsidRDefault="00B6220E" w:rsidP="00AF78AF">
            <w:pPr>
              <w:pStyle w:val="ListParagraph"/>
              <w:numPr>
                <w:ilvl w:val="0"/>
                <w:numId w:val="6"/>
              </w:numPr>
            </w:pPr>
            <w:r>
              <w:t>Types of activity</w:t>
            </w:r>
          </w:p>
          <w:p w14:paraId="17669A78" w14:textId="77777777" w:rsidR="00B6220E" w:rsidRDefault="00B6220E" w:rsidP="00AF78AF">
            <w:pPr>
              <w:pStyle w:val="ListParagraph"/>
              <w:numPr>
                <w:ilvl w:val="0"/>
                <w:numId w:val="2"/>
              </w:numPr>
            </w:pPr>
            <w:r>
              <w:t>Promoting activities to men</w:t>
            </w:r>
          </w:p>
          <w:p w14:paraId="49224476" w14:textId="4462A527" w:rsidR="000D62E1" w:rsidRDefault="000D62E1" w:rsidP="000D62E1">
            <w:pPr>
              <w:pStyle w:val="ListParagraph"/>
            </w:pPr>
          </w:p>
        </w:tc>
        <w:tc>
          <w:tcPr>
            <w:tcW w:w="2409" w:type="dxa"/>
          </w:tcPr>
          <w:p w14:paraId="715CBF7E" w14:textId="38017285" w:rsidR="00B6220E" w:rsidRDefault="00AE2910" w:rsidP="00AF78AF">
            <w:hyperlink r:id="rId15" w:history="1">
              <w:r w:rsidR="00B6220E">
                <w:rPr>
                  <w:rStyle w:val="Hyperlink"/>
                </w:rPr>
                <w:t>Tackling Loneliness and Social Isolation in Older People: How to get more men involved</w:t>
              </w:r>
            </w:hyperlink>
          </w:p>
        </w:tc>
      </w:tr>
      <w:tr w:rsidR="00B6220E" w14:paraId="142478A3" w14:textId="77777777" w:rsidTr="00680B82">
        <w:tc>
          <w:tcPr>
            <w:tcW w:w="1418" w:type="dxa"/>
            <w:shd w:val="clear" w:color="auto" w:fill="FFFFFF" w:themeFill="background1"/>
          </w:tcPr>
          <w:p w14:paraId="2B52CFF8" w14:textId="77777777" w:rsidR="00B6220E" w:rsidRDefault="00B6220E" w:rsidP="00AF78AF">
            <w:r>
              <w:t>Top Tips for a successful activity</w:t>
            </w:r>
          </w:p>
        </w:tc>
        <w:tc>
          <w:tcPr>
            <w:tcW w:w="6663" w:type="dxa"/>
          </w:tcPr>
          <w:p w14:paraId="0B733F0B" w14:textId="77777777" w:rsidR="003943C3" w:rsidRDefault="005F0CC5" w:rsidP="00AF78AF">
            <w:r>
              <w:t xml:space="preserve">Ageing Better in Birmingham has created </w:t>
            </w:r>
            <w:r w:rsidR="00677DBB">
              <w:t xml:space="preserve">two useful guides offering advice </w:t>
            </w:r>
            <w:r w:rsidR="003D269B">
              <w:t xml:space="preserve">on </w:t>
            </w:r>
            <w:r w:rsidR="00C6469E">
              <w:t xml:space="preserve">delivering </w:t>
            </w:r>
            <w:r w:rsidR="003943C3">
              <w:t>successful activities:</w:t>
            </w:r>
          </w:p>
          <w:p w14:paraId="27B83B08" w14:textId="77777777" w:rsidR="003943C3" w:rsidRDefault="003943C3" w:rsidP="00AF78AF"/>
          <w:p w14:paraId="6001C3ED" w14:textId="5BAB6B32" w:rsidR="00B6220E" w:rsidRDefault="003943C3" w:rsidP="00AF78AF">
            <w:pPr>
              <w:pStyle w:val="ListParagraph"/>
              <w:numPr>
                <w:ilvl w:val="0"/>
                <w:numId w:val="3"/>
              </w:numPr>
            </w:pPr>
            <w:r>
              <w:t xml:space="preserve">The first </w:t>
            </w:r>
            <w:r w:rsidR="00B6220E">
              <w:t>outlines top tips and ideas to help you set up a local group or activity including:</w:t>
            </w:r>
            <w:r>
              <w:t xml:space="preserve"> </w:t>
            </w:r>
            <w:r w:rsidR="00B6220E">
              <w:t>What kind of activity should you run</w:t>
            </w:r>
            <w:r w:rsidR="00AA3495">
              <w:t xml:space="preserve">, </w:t>
            </w:r>
            <w:r w:rsidR="00B6220E">
              <w:t>Practical Pointers</w:t>
            </w:r>
            <w:r w:rsidR="00AA3495">
              <w:t>, h</w:t>
            </w:r>
            <w:r w:rsidR="00B6220E">
              <w:t>elping people get to your activity</w:t>
            </w:r>
            <w:r w:rsidR="00AA3495">
              <w:t xml:space="preserve"> and p</w:t>
            </w:r>
            <w:r w:rsidR="00B6220E">
              <w:t>romoting your group</w:t>
            </w:r>
            <w:r w:rsidR="00FF39CC">
              <w:t>.</w:t>
            </w:r>
          </w:p>
          <w:p w14:paraId="18409DBE" w14:textId="77777777" w:rsidR="00AA3495" w:rsidRDefault="00AA3495" w:rsidP="00AA3495">
            <w:pPr>
              <w:pStyle w:val="ListParagraph"/>
            </w:pPr>
          </w:p>
          <w:p w14:paraId="688CE350" w14:textId="47C9A69A" w:rsidR="00AA3495" w:rsidRDefault="00AA3495" w:rsidP="00AF78AF">
            <w:pPr>
              <w:pStyle w:val="ListParagraph"/>
              <w:numPr>
                <w:ilvl w:val="0"/>
                <w:numId w:val="3"/>
              </w:numPr>
            </w:pPr>
            <w:r>
              <w:t xml:space="preserve">The second </w:t>
            </w:r>
            <w:r w:rsidR="00FF39CC">
              <w:t xml:space="preserve">provides examples and advice for ensuring legacy and sustainability of a local group or activity. </w:t>
            </w:r>
          </w:p>
          <w:p w14:paraId="1E094980" w14:textId="77777777" w:rsidR="007D1D05" w:rsidRDefault="007D1D05" w:rsidP="007D1D05">
            <w:pPr>
              <w:pStyle w:val="ListParagraph"/>
            </w:pPr>
          </w:p>
          <w:p w14:paraId="255909CF" w14:textId="77777777" w:rsidR="005F0CC5" w:rsidRDefault="005F0CC5" w:rsidP="005F0CC5"/>
          <w:p w14:paraId="3FFF03D3" w14:textId="77777777" w:rsidR="005F0CC5" w:rsidRDefault="005F0CC5" w:rsidP="005F0CC5"/>
          <w:p w14:paraId="41383D62" w14:textId="63DA125A" w:rsidR="005F0CC5" w:rsidRDefault="005F0CC5" w:rsidP="005F0CC5"/>
        </w:tc>
        <w:tc>
          <w:tcPr>
            <w:tcW w:w="2409" w:type="dxa"/>
            <w:shd w:val="clear" w:color="auto" w:fill="auto"/>
          </w:tcPr>
          <w:p w14:paraId="3F28E271" w14:textId="77777777" w:rsidR="00AA3495" w:rsidRDefault="00AA3495" w:rsidP="00AF78AF"/>
          <w:p w14:paraId="448FF768" w14:textId="77777777" w:rsidR="00AA3495" w:rsidRDefault="00AA3495" w:rsidP="00AF78AF"/>
          <w:p w14:paraId="12D898A3" w14:textId="77777777" w:rsidR="00AA3495" w:rsidRDefault="00AA3495" w:rsidP="00AF78AF"/>
          <w:p w14:paraId="21DD1BE9" w14:textId="77777777" w:rsidR="00B6220E" w:rsidRDefault="00AE2910" w:rsidP="00AF78AF">
            <w:pPr>
              <w:rPr>
                <w:color w:val="0000FF"/>
                <w:u w:val="single"/>
              </w:rPr>
            </w:pPr>
            <w:hyperlink r:id="rId16" w:history="1">
              <w:r w:rsidR="00B6220E">
                <w:rPr>
                  <w:color w:val="0000FF"/>
                  <w:u w:val="single"/>
                </w:rPr>
                <w:t>Tackling loneliness and social isolation in older people: Top tips for a successful activity</w:t>
              </w:r>
            </w:hyperlink>
          </w:p>
          <w:p w14:paraId="6219CEF6" w14:textId="77777777" w:rsidR="00A27435" w:rsidRDefault="00A27435" w:rsidP="00AF78AF">
            <w:pPr>
              <w:rPr>
                <w:color w:val="0000FF"/>
                <w:u w:val="single"/>
              </w:rPr>
            </w:pPr>
          </w:p>
          <w:p w14:paraId="494917D7" w14:textId="00277F59" w:rsidR="00A27435" w:rsidRDefault="00AE2910" w:rsidP="00AF78AF">
            <w:hyperlink r:id="rId17" w:history="1">
              <w:r w:rsidR="0094704C">
                <w:rPr>
                  <w:color w:val="0000FF"/>
                  <w:u w:val="single"/>
                </w:rPr>
                <w:t>How to make a difference in your community and keep your activity going</w:t>
              </w:r>
            </w:hyperlink>
          </w:p>
        </w:tc>
      </w:tr>
      <w:tr w:rsidR="005F0CC5" w14:paraId="446DD101" w14:textId="77777777" w:rsidTr="00B6220E">
        <w:tc>
          <w:tcPr>
            <w:tcW w:w="1418" w:type="dxa"/>
            <w:shd w:val="clear" w:color="auto" w:fill="FFFFFF" w:themeFill="background1"/>
          </w:tcPr>
          <w:p w14:paraId="5634BD69" w14:textId="77777777" w:rsidR="005F0CC5" w:rsidRDefault="005F0CC5" w:rsidP="005F0CC5">
            <w:r>
              <w:t>Marginalised Communities</w:t>
            </w:r>
          </w:p>
        </w:tc>
        <w:tc>
          <w:tcPr>
            <w:tcW w:w="6663" w:type="dxa"/>
          </w:tcPr>
          <w:p w14:paraId="405347D3" w14:textId="77777777" w:rsidR="005F0CC5" w:rsidRDefault="005F0CC5" w:rsidP="005F0CC5">
            <w:r>
              <w:t>This workbook guides you in identifying and supporting seldom heard communities in your neighbourhood. It includes three main sections:</w:t>
            </w:r>
          </w:p>
          <w:p w14:paraId="55F74BF5" w14:textId="77777777" w:rsidR="005F0CC5" w:rsidRDefault="005F0CC5" w:rsidP="005F0CC5"/>
          <w:p w14:paraId="0B29DBD6" w14:textId="77777777" w:rsidR="005F0CC5" w:rsidRDefault="005F0CC5" w:rsidP="005F0CC5">
            <w:pPr>
              <w:pStyle w:val="ListParagraph"/>
              <w:numPr>
                <w:ilvl w:val="0"/>
                <w:numId w:val="10"/>
              </w:numPr>
            </w:pPr>
            <w:r>
              <w:t>Identification of marginalised groups</w:t>
            </w:r>
          </w:p>
          <w:p w14:paraId="5FE34E72" w14:textId="77777777" w:rsidR="005F0CC5" w:rsidRDefault="005F0CC5" w:rsidP="005F0CC5">
            <w:pPr>
              <w:pStyle w:val="ListParagraph"/>
              <w:numPr>
                <w:ilvl w:val="0"/>
                <w:numId w:val="10"/>
              </w:numPr>
            </w:pPr>
            <w:r>
              <w:t>Mapping your marginalised groups</w:t>
            </w:r>
          </w:p>
          <w:p w14:paraId="030F7D7E" w14:textId="77777777" w:rsidR="005F0CC5" w:rsidRDefault="005F0CC5" w:rsidP="005F0CC5">
            <w:pPr>
              <w:pStyle w:val="ListParagraph"/>
              <w:numPr>
                <w:ilvl w:val="0"/>
                <w:numId w:val="10"/>
              </w:numPr>
            </w:pPr>
            <w:r>
              <w:t>Approaches to working with marginalised groups</w:t>
            </w:r>
          </w:p>
          <w:p w14:paraId="16262285" w14:textId="77777777" w:rsidR="005F0CC5" w:rsidRDefault="005F0CC5" w:rsidP="005F0CC5"/>
          <w:p w14:paraId="08E5DBEA" w14:textId="77777777" w:rsidR="005F0CC5" w:rsidRDefault="005F0CC5" w:rsidP="005F0CC5">
            <w:r>
              <w:t xml:space="preserve">The document uses the term ‘marginalised’ to recognise that some groups are at risk of being pushed to the margins of society. Marginalising characteristics include being male, being single/living alone, identifying as LGBT+, being in poor health, identifying as a minority ethnicity or religion. </w:t>
            </w:r>
          </w:p>
          <w:p w14:paraId="2E4563FA" w14:textId="5640A424" w:rsidR="000D62E1" w:rsidRDefault="000D62E1" w:rsidP="005F0CC5"/>
        </w:tc>
        <w:tc>
          <w:tcPr>
            <w:tcW w:w="2409" w:type="dxa"/>
          </w:tcPr>
          <w:p w14:paraId="5B9D8114" w14:textId="120C8943" w:rsidR="005F0CC5" w:rsidRDefault="00AE2910" w:rsidP="005F0CC5">
            <w:hyperlink r:id="rId18" w:history="1">
              <w:r w:rsidR="005F0CC5">
                <w:rPr>
                  <w:color w:val="0000FF"/>
                  <w:u w:val="single"/>
                </w:rPr>
                <w:t>Mapping and working with marginalised communities</w:t>
              </w:r>
            </w:hyperlink>
          </w:p>
        </w:tc>
      </w:tr>
      <w:tr w:rsidR="005F0CC5" w14:paraId="6094B33B" w14:textId="77777777" w:rsidTr="008B6CFF">
        <w:tc>
          <w:tcPr>
            <w:tcW w:w="1418" w:type="dxa"/>
            <w:shd w:val="clear" w:color="auto" w:fill="FFFFFF" w:themeFill="background1"/>
          </w:tcPr>
          <w:p w14:paraId="1B6AAAD6" w14:textId="7912F804" w:rsidR="005F0CC5" w:rsidRDefault="005F0CC5" w:rsidP="005F0CC5">
            <w:r>
              <w:t>Friendship Groups</w:t>
            </w:r>
          </w:p>
        </w:tc>
        <w:tc>
          <w:tcPr>
            <w:tcW w:w="6663" w:type="dxa"/>
          </w:tcPr>
          <w:p w14:paraId="6B6A7356" w14:textId="0CA3B8B9" w:rsidR="005F0CC5" w:rsidRDefault="005F0CC5" w:rsidP="005F0CC5">
            <w:r>
              <w:t>This toolkit was designed by Ageing Better in East Lindsey. It is designed to help other people to develop their own friendship groups, and the things to consider and ensure when doing so. The toolkit includes:</w:t>
            </w:r>
          </w:p>
          <w:p w14:paraId="35A0DB22" w14:textId="77038815" w:rsidR="005F0CC5" w:rsidRDefault="005F0CC5" w:rsidP="005F0CC5"/>
          <w:p w14:paraId="1E39B961" w14:textId="1EE991CE" w:rsidR="005F0CC5" w:rsidRDefault="005F0CC5" w:rsidP="005F0CC5">
            <w:pPr>
              <w:pStyle w:val="ListParagraph"/>
              <w:numPr>
                <w:ilvl w:val="0"/>
                <w:numId w:val="3"/>
              </w:numPr>
            </w:pPr>
            <w:r>
              <w:t xml:space="preserve">What is a friendship </w:t>
            </w:r>
            <w:proofErr w:type="gramStart"/>
            <w:r>
              <w:t>group</w:t>
            </w:r>
            <w:proofErr w:type="gramEnd"/>
          </w:p>
          <w:p w14:paraId="5D887A93" w14:textId="31A4E6DF" w:rsidR="005F0CC5" w:rsidRDefault="005F0CC5" w:rsidP="005F0CC5">
            <w:pPr>
              <w:pStyle w:val="ListParagraph"/>
              <w:numPr>
                <w:ilvl w:val="0"/>
                <w:numId w:val="3"/>
              </w:numPr>
            </w:pPr>
            <w:r>
              <w:t>How to create a group</w:t>
            </w:r>
          </w:p>
          <w:p w14:paraId="6655DB61" w14:textId="41A083CA" w:rsidR="005F0CC5" w:rsidRDefault="005F0CC5" w:rsidP="005F0CC5">
            <w:pPr>
              <w:pStyle w:val="ListParagraph"/>
              <w:numPr>
                <w:ilvl w:val="0"/>
                <w:numId w:val="3"/>
              </w:numPr>
            </w:pPr>
            <w:r>
              <w:t>Things to consider</w:t>
            </w:r>
          </w:p>
          <w:p w14:paraId="2EED93DF" w14:textId="77777777" w:rsidR="005F0CC5" w:rsidRDefault="005F0CC5" w:rsidP="005F0CC5">
            <w:pPr>
              <w:pStyle w:val="ListParagraph"/>
              <w:numPr>
                <w:ilvl w:val="0"/>
                <w:numId w:val="3"/>
              </w:numPr>
            </w:pPr>
            <w:r>
              <w:t>Case Studies</w:t>
            </w:r>
          </w:p>
          <w:p w14:paraId="6628A616" w14:textId="61DE79A5" w:rsidR="000D62E1" w:rsidRDefault="000D62E1" w:rsidP="000D62E1">
            <w:pPr>
              <w:pStyle w:val="ListParagraph"/>
            </w:pPr>
          </w:p>
        </w:tc>
        <w:tc>
          <w:tcPr>
            <w:tcW w:w="2409" w:type="dxa"/>
            <w:shd w:val="clear" w:color="auto" w:fill="auto"/>
          </w:tcPr>
          <w:p w14:paraId="6B957ACB" w14:textId="2257FD0C" w:rsidR="005F0CC5" w:rsidRPr="00FB0BEC" w:rsidRDefault="00AE2910" w:rsidP="005F0CC5">
            <w:hyperlink r:id="rId19" w:history="1">
              <w:r w:rsidR="005F0CC5">
                <w:rPr>
                  <w:rStyle w:val="Hyperlink"/>
                </w:rPr>
                <w:t>Friendship Groups Toolkit</w:t>
              </w:r>
            </w:hyperlink>
            <w:r w:rsidR="005F0CC5">
              <w:t xml:space="preserve"> </w:t>
            </w:r>
          </w:p>
        </w:tc>
      </w:tr>
      <w:tr w:rsidR="005F0CC5" w14:paraId="5A712458" w14:textId="77777777" w:rsidTr="00485D16">
        <w:tc>
          <w:tcPr>
            <w:tcW w:w="1418" w:type="dxa"/>
            <w:shd w:val="clear" w:color="auto" w:fill="FFFFFF" w:themeFill="background1"/>
          </w:tcPr>
          <w:p w14:paraId="5F98E359" w14:textId="32BFE9A1" w:rsidR="005F0CC5" w:rsidRDefault="005F0CC5" w:rsidP="005F0CC5">
            <w:r>
              <w:t>Digital Skills</w:t>
            </w:r>
          </w:p>
        </w:tc>
        <w:tc>
          <w:tcPr>
            <w:tcW w:w="6663" w:type="dxa"/>
          </w:tcPr>
          <w:p w14:paraId="1E8C817D" w14:textId="48E93B4A" w:rsidR="005F0CC5" w:rsidRDefault="005F0CC5" w:rsidP="005F0CC5">
            <w:r>
              <w:t>This toolkit was created by Ageing Better in East Lindsey. It has been designed to support you on your journey towards setting up inclusive Digital Sessions for individuals over 50. The toolkit includes:</w:t>
            </w:r>
          </w:p>
          <w:p w14:paraId="199B3130" w14:textId="77777777" w:rsidR="005F0CC5" w:rsidRDefault="005F0CC5" w:rsidP="005F0CC5"/>
          <w:p w14:paraId="295BF75A" w14:textId="77777777" w:rsidR="005F0CC5" w:rsidRDefault="005F0CC5" w:rsidP="005F0CC5">
            <w:pPr>
              <w:pStyle w:val="ListParagraph"/>
              <w:numPr>
                <w:ilvl w:val="0"/>
                <w:numId w:val="11"/>
              </w:numPr>
            </w:pPr>
            <w:r>
              <w:t>Case Studies</w:t>
            </w:r>
          </w:p>
          <w:p w14:paraId="327C5763" w14:textId="77777777" w:rsidR="005F0CC5" w:rsidRDefault="005F0CC5" w:rsidP="005F0CC5">
            <w:pPr>
              <w:pStyle w:val="ListParagraph"/>
              <w:numPr>
                <w:ilvl w:val="0"/>
                <w:numId w:val="11"/>
              </w:numPr>
            </w:pPr>
            <w:r>
              <w:t>Hints and Tips on how to set up successful training sessions</w:t>
            </w:r>
          </w:p>
          <w:p w14:paraId="0756AEE4" w14:textId="0E44E8B0" w:rsidR="005F0CC5" w:rsidRDefault="005F0CC5" w:rsidP="005F0CC5">
            <w:pPr>
              <w:pStyle w:val="ListParagraph"/>
              <w:numPr>
                <w:ilvl w:val="0"/>
                <w:numId w:val="11"/>
              </w:numPr>
            </w:pPr>
            <w:r>
              <w:t>Venue assessment checklist</w:t>
            </w:r>
          </w:p>
        </w:tc>
        <w:tc>
          <w:tcPr>
            <w:tcW w:w="2409" w:type="dxa"/>
            <w:shd w:val="clear" w:color="auto" w:fill="auto"/>
          </w:tcPr>
          <w:p w14:paraId="0671E52A" w14:textId="17DFAA85" w:rsidR="005F0CC5" w:rsidRPr="00FB0BEC" w:rsidRDefault="00AE2910" w:rsidP="005F0CC5">
            <w:hyperlink r:id="rId20" w:history="1">
              <w:r w:rsidR="005F0CC5">
                <w:rPr>
                  <w:rStyle w:val="Hyperlink"/>
                </w:rPr>
                <w:t>Digital Skills Toolkit</w:t>
              </w:r>
            </w:hyperlink>
            <w:r w:rsidR="005F0CC5">
              <w:t xml:space="preserve"> </w:t>
            </w:r>
          </w:p>
        </w:tc>
      </w:tr>
    </w:tbl>
    <w:p w14:paraId="33DE8F32" w14:textId="5DB2DFCE" w:rsidR="0026742F" w:rsidRDefault="0026742F" w:rsidP="008A1F63">
      <w:pPr>
        <w:jc w:val="center"/>
      </w:pPr>
    </w:p>
    <w:p w14:paraId="3240CB30" w14:textId="77777777" w:rsidR="00FA45DC" w:rsidRDefault="00FA45DC" w:rsidP="008A1F63">
      <w:pPr>
        <w:jc w:val="center"/>
      </w:pPr>
    </w:p>
    <w:tbl>
      <w:tblPr>
        <w:tblStyle w:val="TableGrid"/>
        <w:tblW w:w="10490" w:type="dxa"/>
        <w:tblInd w:w="-289" w:type="dxa"/>
        <w:tblLayout w:type="fixed"/>
        <w:tblLook w:val="04A0" w:firstRow="1" w:lastRow="0" w:firstColumn="1" w:lastColumn="0" w:noHBand="0" w:noVBand="1"/>
      </w:tblPr>
      <w:tblGrid>
        <w:gridCol w:w="1418"/>
        <w:gridCol w:w="6663"/>
        <w:gridCol w:w="2409"/>
      </w:tblGrid>
      <w:tr w:rsidR="00D13FA8" w14:paraId="6420CD48" w14:textId="77777777" w:rsidTr="00D13FA8">
        <w:tc>
          <w:tcPr>
            <w:tcW w:w="1418" w:type="dxa"/>
          </w:tcPr>
          <w:p w14:paraId="7CA955A0" w14:textId="77777777" w:rsidR="00D13FA8" w:rsidRDefault="00D13FA8" w:rsidP="00AF78AF">
            <w:r>
              <w:t>Topic</w:t>
            </w:r>
          </w:p>
        </w:tc>
        <w:tc>
          <w:tcPr>
            <w:tcW w:w="6663" w:type="dxa"/>
          </w:tcPr>
          <w:p w14:paraId="0746CF31" w14:textId="77777777" w:rsidR="00D13FA8" w:rsidRDefault="00D13FA8" w:rsidP="00AF78AF">
            <w:r>
              <w:t>About</w:t>
            </w:r>
          </w:p>
        </w:tc>
        <w:tc>
          <w:tcPr>
            <w:tcW w:w="2409" w:type="dxa"/>
          </w:tcPr>
          <w:p w14:paraId="5B83A369" w14:textId="77777777" w:rsidR="00D13FA8" w:rsidRDefault="00D13FA8" w:rsidP="00AF78AF">
            <w:r>
              <w:t>Link</w:t>
            </w:r>
          </w:p>
        </w:tc>
      </w:tr>
      <w:tr w:rsidR="007D1D05" w14:paraId="63772D88" w14:textId="77777777" w:rsidTr="00D13FA8">
        <w:tc>
          <w:tcPr>
            <w:tcW w:w="1418" w:type="dxa"/>
          </w:tcPr>
          <w:p w14:paraId="772E6056" w14:textId="28257CB1" w:rsidR="007D1D05" w:rsidRDefault="007D1D05" w:rsidP="007D1D05">
            <w:r>
              <w:t xml:space="preserve">Inter-generational </w:t>
            </w:r>
          </w:p>
        </w:tc>
        <w:tc>
          <w:tcPr>
            <w:tcW w:w="6663" w:type="dxa"/>
          </w:tcPr>
          <w:p w14:paraId="412D494C" w14:textId="77777777" w:rsidR="007D1D05" w:rsidRDefault="007D1D05" w:rsidP="007D1D05">
            <w:r>
              <w:t>This briefing explores the benefits of setting up your own intergenerational activity and provides tips on how to make your activity a success including:</w:t>
            </w:r>
          </w:p>
          <w:p w14:paraId="0161CEE4" w14:textId="77777777" w:rsidR="007D1D05" w:rsidRDefault="007D1D05" w:rsidP="007D1D05"/>
          <w:p w14:paraId="204AB1FC" w14:textId="77777777" w:rsidR="007D1D05" w:rsidRDefault="007D1D05" w:rsidP="007D1D05">
            <w:pPr>
              <w:pStyle w:val="ListParagraph"/>
              <w:numPr>
                <w:ilvl w:val="0"/>
                <w:numId w:val="12"/>
              </w:numPr>
            </w:pPr>
            <w:r>
              <w:t>Reaching participants of different ages</w:t>
            </w:r>
          </w:p>
          <w:p w14:paraId="47840FC8" w14:textId="77777777" w:rsidR="007D1D05" w:rsidRDefault="007D1D05" w:rsidP="008B261B">
            <w:pPr>
              <w:pStyle w:val="ListParagraph"/>
              <w:numPr>
                <w:ilvl w:val="0"/>
                <w:numId w:val="12"/>
              </w:numPr>
            </w:pPr>
            <w:r>
              <w:t>Choosing an activity</w:t>
            </w:r>
          </w:p>
          <w:p w14:paraId="4932AA7E" w14:textId="46E7D931" w:rsidR="008B261B" w:rsidRDefault="008B261B" w:rsidP="008B261B">
            <w:pPr>
              <w:pStyle w:val="ListParagraph"/>
            </w:pPr>
          </w:p>
        </w:tc>
        <w:tc>
          <w:tcPr>
            <w:tcW w:w="2409" w:type="dxa"/>
          </w:tcPr>
          <w:p w14:paraId="37C3894D" w14:textId="0944ED03" w:rsidR="007D1D05" w:rsidRDefault="00AE2910" w:rsidP="007D1D05">
            <w:hyperlink r:id="rId21" w:history="1">
              <w:r w:rsidR="007D1D05">
                <w:rPr>
                  <w:rStyle w:val="Hyperlink"/>
                </w:rPr>
                <w:t>Bringing different ages together through shared activities</w:t>
              </w:r>
            </w:hyperlink>
          </w:p>
        </w:tc>
      </w:tr>
      <w:tr w:rsidR="007D1D05" w14:paraId="3D4DAD0B" w14:textId="77777777" w:rsidTr="00D13FA8">
        <w:tc>
          <w:tcPr>
            <w:tcW w:w="1418" w:type="dxa"/>
          </w:tcPr>
          <w:p w14:paraId="597030B3" w14:textId="77777777" w:rsidR="007D1D05" w:rsidRDefault="007D1D05" w:rsidP="007D1D05">
            <w:r>
              <w:t>Age Friendly</w:t>
            </w:r>
          </w:p>
        </w:tc>
        <w:tc>
          <w:tcPr>
            <w:tcW w:w="6663" w:type="dxa"/>
          </w:tcPr>
          <w:p w14:paraId="6F4C0830" w14:textId="2B81B1E0" w:rsidR="007D1D05" w:rsidRDefault="007D1D05" w:rsidP="007D1D05">
            <w:r>
              <w:t xml:space="preserve">Age Friendly has been an important aspect of the Ageing Better programme and some of the partnerships have created guides, toolkits and checklists which would be useful for anyone who is considering becoming more </w:t>
            </w:r>
            <w:proofErr w:type="gramStart"/>
            <w:r>
              <w:t>age-friendly</w:t>
            </w:r>
            <w:proofErr w:type="gramEnd"/>
            <w:r>
              <w:t xml:space="preserve">. </w:t>
            </w:r>
          </w:p>
          <w:p w14:paraId="51A82E60" w14:textId="77777777" w:rsidR="007D1D05" w:rsidRDefault="007D1D05" w:rsidP="007D1D05"/>
          <w:p w14:paraId="3BDB5D55" w14:textId="18806BEC" w:rsidR="007D1D05" w:rsidRDefault="007D1D05" w:rsidP="007D1D05">
            <w:pPr>
              <w:pStyle w:val="ListParagraph"/>
              <w:numPr>
                <w:ilvl w:val="0"/>
                <w:numId w:val="14"/>
              </w:numPr>
            </w:pPr>
            <w:r>
              <w:t xml:space="preserve">Bristol Ageing Better have produced a toolkit offering advice to making your neighbourhood Age-Friendly. It includes a range of considerations including improving transport access, supporting older neighbours to access community support and health </w:t>
            </w:r>
            <w:proofErr w:type="gramStart"/>
            <w:r>
              <w:t>services</w:t>
            </w:r>
            <w:proofErr w:type="gramEnd"/>
            <w:r>
              <w:t xml:space="preserve"> and increasing social opportunities in your community. </w:t>
            </w:r>
          </w:p>
          <w:p w14:paraId="2B4B3149" w14:textId="77777777" w:rsidR="007D1D05" w:rsidRDefault="007D1D05" w:rsidP="007D1D05"/>
          <w:p w14:paraId="0B19B449" w14:textId="77777777" w:rsidR="007D1D05" w:rsidRDefault="007D1D05" w:rsidP="007D1D05"/>
          <w:p w14:paraId="74D6733C" w14:textId="423A5932" w:rsidR="007D1D05" w:rsidRDefault="007D1D05" w:rsidP="007D1D05">
            <w:pPr>
              <w:pStyle w:val="ListParagraph"/>
              <w:numPr>
                <w:ilvl w:val="0"/>
                <w:numId w:val="14"/>
              </w:numPr>
            </w:pPr>
            <w:r>
              <w:t xml:space="preserve">Ageless Thanet has designed a toolkit aimed to be a starting point to help you assess your organisation and think about what changes you could make in the short term and in the longer term to become age friendly. It includes practical advice and case study examples. </w:t>
            </w:r>
          </w:p>
          <w:p w14:paraId="0419363E" w14:textId="0637237C" w:rsidR="007D1D05" w:rsidRDefault="007D1D05" w:rsidP="007D1D05"/>
          <w:p w14:paraId="0C58FEC7" w14:textId="77777777" w:rsidR="007D1D05" w:rsidRDefault="007D1D05" w:rsidP="007D1D05"/>
          <w:p w14:paraId="0E4B0DB0" w14:textId="43101ABB" w:rsidR="007D1D05" w:rsidRDefault="007D1D05" w:rsidP="007D1D05">
            <w:pPr>
              <w:pStyle w:val="ListParagraph"/>
              <w:numPr>
                <w:ilvl w:val="0"/>
                <w:numId w:val="14"/>
              </w:numPr>
            </w:pPr>
            <w:r>
              <w:t>The Time to Shine project in Leeds has created a checklist that aims to help you look at how your organisation might become more age and dementia friendly.</w:t>
            </w:r>
          </w:p>
          <w:p w14:paraId="18B27B2D" w14:textId="77777777" w:rsidR="007D1D05" w:rsidRDefault="007D1D05" w:rsidP="007D1D05"/>
          <w:p w14:paraId="3CAFE61A" w14:textId="7058C60B" w:rsidR="007D1D05" w:rsidRDefault="007D1D05" w:rsidP="007D1D05"/>
        </w:tc>
        <w:tc>
          <w:tcPr>
            <w:tcW w:w="2409" w:type="dxa"/>
          </w:tcPr>
          <w:p w14:paraId="07A3475C" w14:textId="77777777" w:rsidR="007D1D05" w:rsidRDefault="007D1D05" w:rsidP="007D1D05"/>
          <w:p w14:paraId="7554B832" w14:textId="77777777" w:rsidR="007D1D05" w:rsidRDefault="007D1D05" w:rsidP="007D1D05"/>
          <w:p w14:paraId="6D80BE35" w14:textId="77777777" w:rsidR="007D1D05" w:rsidRDefault="007D1D05" w:rsidP="007D1D05"/>
          <w:p w14:paraId="0DFD262E" w14:textId="77777777" w:rsidR="007D1D05" w:rsidRDefault="007D1D05" w:rsidP="007D1D05"/>
          <w:p w14:paraId="69DAF571" w14:textId="77777777" w:rsidR="007D1D05" w:rsidRDefault="007D1D05" w:rsidP="007D1D05"/>
          <w:p w14:paraId="2AC5D7F8" w14:textId="079E9586" w:rsidR="007D1D05" w:rsidRDefault="00AE2910" w:rsidP="007D1D05">
            <w:pPr>
              <w:rPr>
                <w:rStyle w:val="Hyperlink"/>
              </w:rPr>
            </w:pPr>
            <w:hyperlink r:id="rId22" w:history="1">
              <w:r w:rsidR="007D1D05">
                <w:rPr>
                  <w:rStyle w:val="Hyperlink"/>
                </w:rPr>
                <w:t>Make Your Neighbourhood Age-Friendly</w:t>
              </w:r>
            </w:hyperlink>
            <w:r w:rsidR="007D1D05">
              <w:rPr>
                <w:rStyle w:val="Hyperlink"/>
              </w:rPr>
              <w:t xml:space="preserve"> </w:t>
            </w:r>
          </w:p>
          <w:p w14:paraId="68C2C820" w14:textId="77777777" w:rsidR="007D1D05" w:rsidRDefault="007D1D05" w:rsidP="007D1D05">
            <w:pPr>
              <w:rPr>
                <w:rStyle w:val="Hyperlink"/>
              </w:rPr>
            </w:pPr>
          </w:p>
          <w:p w14:paraId="6C70F3CF" w14:textId="77777777" w:rsidR="007D1D05" w:rsidRDefault="007D1D05" w:rsidP="007D1D05">
            <w:pPr>
              <w:rPr>
                <w:rStyle w:val="Hyperlink"/>
              </w:rPr>
            </w:pPr>
          </w:p>
          <w:p w14:paraId="541F68EE" w14:textId="77777777" w:rsidR="007D1D05" w:rsidRDefault="007D1D05" w:rsidP="007D1D05">
            <w:pPr>
              <w:rPr>
                <w:rStyle w:val="Hyperlink"/>
              </w:rPr>
            </w:pPr>
          </w:p>
          <w:p w14:paraId="0613FCE1" w14:textId="77777777" w:rsidR="007D1D05" w:rsidRDefault="007D1D05" w:rsidP="007D1D05">
            <w:pPr>
              <w:rPr>
                <w:rStyle w:val="Hyperlink"/>
              </w:rPr>
            </w:pPr>
          </w:p>
          <w:p w14:paraId="1DC8491A" w14:textId="77777777" w:rsidR="007D1D05" w:rsidRDefault="00AE2910" w:rsidP="007D1D05">
            <w:hyperlink r:id="rId23" w:history="1">
              <w:r w:rsidR="007D1D05">
                <w:rPr>
                  <w:color w:val="0000FF"/>
                  <w:u w:val="single"/>
                </w:rPr>
                <w:t>Age-Friendly Toolkit</w:t>
              </w:r>
            </w:hyperlink>
          </w:p>
          <w:p w14:paraId="7CC606B4" w14:textId="77777777" w:rsidR="007D1D05" w:rsidRDefault="007D1D05" w:rsidP="007D1D05"/>
          <w:p w14:paraId="531EC386" w14:textId="77777777" w:rsidR="007D1D05" w:rsidRDefault="007D1D05" w:rsidP="007D1D05"/>
          <w:p w14:paraId="5257F0A8" w14:textId="77777777" w:rsidR="007D1D05" w:rsidRDefault="007D1D05" w:rsidP="007D1D05"/>
          <w:p w14:paraId="40E151E4" w14:textId="10EA5648" w:rsidR="007D1D05" w:rsidRDefault="007D1D05" w:rsidP="007D1D05"/>
          <w:p w14:paraId="08FCB0B2" w14:textId="77777777" w:rsidR="008B261B" w:rsidRDefault="008B261B" w:rsidP="007D1D05"/>
          <w:p w14:paraId="2CB6D3BF" w14:textId="77777777" w:rsidR="007D1D05" w:rsidRDefault="007D1D05" w:rsidP="007D1D05"/>
          <w:p w14:paraId="0717F639" w14:textId="48CE3DF1" w:rsidR="007D1D05" w:rsidRDefault="00AE2910" w:rsidP="007D1D05">
            <w:hyperlink r:id="rId24" w:history="1">
              <w:r w:rsidR="007D1D05">
                <w:rPr>
                  <w:color w:val="0000FF"/>
                  <w:u w:val="single"/>
                </w:rPr>
                <w:t>Age and Dementia Friendly Checklist</w:t>
              </w:r>
            </w:hyperlink>
          </w:p>
        </w:tc>
      </w:tr>
      <w:tr w:rsidR="007D1D05" w14:paraId="640B7B41" w14:textId="77777777" w:rsidTr="00D13FA8">
        <w:tc>
          <w:tcPr>
            <w:tcW w:w="1418" w:type="dxa"/>
          </w:tcPr>
          <w:p w14:paraId="67F44BA5" w14:textId="77777777" w:rsidR="007D1D05" w:rsidRDefault="007D1D05" w:rsidP="007D1D05">
            <w:r>
              <w:t>Outreach</w:t>
            </w:r>
          </w:p>
        </w:tc>
        <w:tc>
          <w:tcPr>
            <w:tcW w:w="6663" w:type="dxa"/>
          </w:tcPr>
          <w:p w14:paraId="2206F22D" w14:textId="77777777" w:rsidR="007D1D05" w:rsidRDefault="007D1D05" w:rsidP="007D1D05">
            <w:r>
              <w:t>Ageing Better in Camden ran successful pop-up events in Sport and Leisure Centres to help them engage with older people. This toolkit was developed to support service providers to lead the delivery of their own regular pop-up events for older people. Although the guide is targeted at providers in Camden, many of the messages are universal and therefore can be adapted to other areas. The toolkit includes:</w:t>
            </w:r>
          </w:p>
          <w:p w14:paraId="7F857E23" w14:textId="77777777" w:rsidR="007D1D05" w:rsidRDefault="007D1D05" w:rsidP="007D1D05"/>
          <w:p w14:paraId="3F450418" w14:textId="77777777" w:rsidR="007D1D05" w:rsidRDefault="007D1D05" w:rsidP="007D1D05">
            <w:pPr>
              <w:pStyle w:val="ListParagraph"/>
              <w:numPr>
                <w:ilvl w:val="0"/>
                <w:numId w:val="3"/>
              </w:numPr>
            </w:pPr>
            <w:r>
              <w:t>Advice on the best ways to prepare for a pop-up event including street outreach</w:t>
            </w:r>
          </w:p>
          <w:p w14:paraId="55BADE77" w14:textId="77777777" w:rsidR="007D1D05" w:rsidRDefault="007D1D05" w:rsidP="007D1D05">
            <w:pPr>
              <w:pStyle w:val="ListParagraph"/>
              <w:numPr>
                <w:ilvl w:val="0"/>
                <w:numId w:val="3"/>
              </w:numPr>
            </w:pPr>
            <w:r>
              <w:t>Materials to advertise and promote a pop-up event</w:t>
            </w:r>
          </w:p>
          <w:p w14:paraId="421A4A6C" w14:textId="77777777" w:rsidR="007D1D05" w:rsidRDefault="007D1D05" w:rsidP="007D1D05">
            <w:pPr>
              <w:pStyle w:val="ListParagraph"/>
              <w:numPr>
                <w:ilvl w:val="0"/>
                <w:numId w:val="3"/>
              </w:numPr>
            </w:pPr>
            <w:r>
              <w:t>Top Tips on how to run an informal event for older people</w:t>
            </w:r>
          </w:p>
          <w:p w14:paraId="6BC779F5" w14:textId="2CA49CA6" w:rsidR="007D1D05" w:rsidRDefault="007D1D05" w:rsidP="007D1D05">
            <w:pPr>
              <w:pStyle w:val="ListParagraph"/>
            </w:pPr>
          </w:p>
        </w:tc>
        <w:tc>
          <w:tcPr>
            <w:tcW w:w="2409" w:type="dxa"/>
          </w:tcPr>
          <w:p w14:paraId="0636168B" w14:textId="53BF97EF" w:rsidR="007D1D05" w:rsidRDefault="00AE2910" w:rsidP="007D1D05">
            <w:hyperlink r:id="rId25" w:history="1">
              <w:r w:rsidR="007D1D05">
                <w:rPr>
                  <w:rStyle w:val="Hyperlink"/>
                </w:rPr>
                <w:t>Street Outreach and Informal Pop-up Events for Older People</w:t>
              </w:r>
            </w:hyperlink>
          </w:p>
        </w:tc>
      </w:tr>
      <w:tr w:rsidR="000E3325" w14:paraId="3950E028" w14:textId="77777777" w:rsidTr="00D13FA8">
        <w:tc>
          <w:tcPr>
            <w:tcW w:w="1418" w:type="dxa"/>
          </w:tcPr>
          <w:p w14:paraId="0ECC88FA" w14:textId="194B9743" w:rsidR="000E3325" w:rsidRDefault="000E3325" w:rsidP="000E3325">
            <w:r>
              <w:t>Social Prescribing</w:t>
            </w:r>
          </w:p>
        </w:tc>
        <w:tc>
          <w:tcPr>
            <w:tcW w:w="6663" w:type="dxa"/>
          </w:tcPr>
          <w:p w14:paraId="342B81D3" w14:textId="77777777" w:rsidR="000E3325" w:rsidRDefault="000E3325" w:rsidP="000E3325">
            <w:r>
              <w:t xml:space="preserve">Ageing Better’s Brightlife project in Cheshire ran a successful social prescribing programme and created </w:t>
            </w:r>
            <w:proofErr w:type="gramStart"/>
            <w:r>
              <w:t>this top tips</w:t>
            </w:r>
            <w:proofErr w:type="gramEnd"/>
            <w:r>
              <w:t xml:space="preserve"> document based on their learning and experience. </w:t>
            </w:r>
          </w:p>
          <w:p w14:paraId="57AF8FD3" w14:textId="61131578" w:rsidR="000E3325" w:rsidRDefault="000E3325" w:rsidP="000E3325"/>
        </w:tc>
        <w:tc>
          <w:tcPr>
            <w:tcW w:w="2409" w:type="dxa"/>
          </w:tcPr>
          <w:p w14:paraId="052D638E" w14:textId="29DDB2BB" w:rsidR="000E3325" w:rsidRDefault="00AE2910" w:rsidP="000E3325">
            <w:hyperlink r:id="rId26" w:history="1">
              <w:r w:rsidR="000E3325">
                <w:rPr>
                  <w:color w:val="0000FF"/>
                  <w:u w:val="single"/>
                </w:rPr>
                <w:t>Top Tips: Social Prescribing</w:t>
              </w:r>
            </w:hyperlink>
          </w:p>
        </w:tc>
      </w:tr>
    </w:tbl>
    <w:p w14:paraId="19380D54" w14:textId="77777777" w:rsidR="00B63965" w:rsidRDefault="00B63965">
      <w:r>
        <w:br w:type="page"/>
      </w:r>
    </w:p>
    <w:tbl>
      <w:tblPr>
        <w:tblStyle w:val="TableGrid"/>
        <w:tblW w:w="10490" w:type="dxa"/>
        <w:tblInd w:w="-289" w:type="dxa"/>
        <w:tblLayout w:type="fixed"/>
        <w:tblLook w:val="04A0" w:firstRow="1" w:lastRow="0" w:firstColumn="1" w:lastColumn="0" w:noHBand="0" w:noVBand="1"/>
      </w:tblPr>
      <w:tblGrid>
        <w:gridCol w:w="1418"/>
        <w:gridCol w:w="6663"/>
        <w:gridCol w:w="2409"/>
      </w:tblGrid>
      <w:tr w:rsidR="00B63965" w14:paraId="3B55B1D1" w14:textId="77777777" w:rsidTr="00D13FA8">
        <w:tc>
          <w:tcPr>
            <w:tcW w:w="1418" w:type="dxa"/>
          </w:tcPr>
          <w:p w14:paraId="2D6F38F1" w14:textId="46364711" w:rsidR="00B63965" w:rsidRDefault="00B63965" w:rsidP="00B63965">
            <w:r>
              <w:lastRenderedPageBreak/>
              <w:t>Topic</w:t>
            </w:r>
          </w:p>
        </w:tc>
        <w:tc>
          <w:tcPr>
            <w:tcW w:w="6663" w:type="dxa"/>
          </w:tcPr>
          <w:p w14:paraId="1EE8371E" w14:textId="2B51209B" w:rsidR="00B63965" w:rsidRDefault="00B63965" w:rsidP="00B63965">
            <w:r>
              <w:t>About</w:t>
            </w:r>
          </w:p>
        </w:tc>
        <w:tc>
          <w:tcPr>
            <w:tcW w:w="2409" w:type="dxa"/>
          </w:tcPr>
          <w:p w14:paraId="4D972AE7" w14:textId="625CB472" w:rsidR="00B63965" w:rsidRDefault="00B63965" w:rsidP="00B63965">
            <w:r>
              <w:t>Link</w:t>
            </w:r>
          </w:p>
        </w:tc>
      </w:tr>
      <w:tr w:rsidR="00B63965" w14:paraId="04F65F47" w14:textId="77777777" w:rsidTr="00D13FA8">
        <w:tc>
          <w:tcPr>
            <w:tcW w:w="1418" w:type="dxa"/>
            <w:vMerge w:val="restart"/>
          </w:tcPr>
          <w:p w14:paraId="278465A0" w14:textId="5E525FF4" w:rsidR="00B63965" w:rsidRDefault="00B63965" w:rsidP="00B63965">
            <w:r>
              <w:t>Food Projects</w:t>
            </w:r>
          </w:p>
        </w:tc>
        <w:tc>
          <w:tcPr>
            <w:tcW w:w="6663" w:type="dxa"/>
          </w:tcPr>
          <w:p w14:paraId="1D3B6C04" w14:textId="77777777" w:rsidR="00B63965" w:rsidRDefault="00B63965" w:rsidP="00B63965">
            <w:r>
              <w:t xml:space="preserve">This toolkit outlines the value of ‘Shared Tables’. Although it is based on work with people aged 50+ the model could be adapted for use with groups of people who share </w:t>
            </w:r>
            <w:proofErr w:type="gramStart"/>
            <w:r>
              <w:t>particular interests</w:t>
            </w:r>
            <w:proofErr w:type="gramEnd"/>
            <w:r>
              <w:t xml:space="preserve"> or life experiences. It was developed by ‘Time to Shine’ (an Ageing Better project in Leeds) and includes:</w:t>
            </w:r>
          </w:p>
          <w:p w14:paraId="0BAB9479" w14:textId="77777777" w:rsidR="00B63965" w:rsidRDefault="00B63965" w:rsidP="00B63965"/>
          <w:p w14:paraId="506B9037" w14:textId="77777777" w:rsidR="00B63965" w:rsidRDefault="00B63965" w:rsidP="00B63965">
            <w:pPr>
              <w:pStyle w:val="ListParagraph"/>
              <w:numPr>
                <w:ilvl w:val="0"/>
                <w:numId w:val="4"/>
              </w:numPr>
            </w:pPr>
            <w:r>
              <w:t>Step-by-step guide to setting up a Shared Tables project</w:t>
            </w:r>
          </w:p>
          <w:p w14:paraId="1AFE3B2C" w14:textId="77777777" w:rsidR="00B63965" w:rsidRDefault="00B63965" w:rsidP="00B63965">
            <w:pPr>
              <w:pStyle w:val="ListParagraph"/>
              <w:numPr>
                <w:ilvl w:val="0"/>
                <w:numId w:val="4"/>
              </w:numPr>
            </w:pPr>
            <w:r>
              <w:t>Top Tips</w:t>
            </w:r>
          </w:p>
          <w:p w14:paraId="1393177A" w14:textId="66DF2E40" w:rsidR="008F4FED" w:rsidRDefault="008F4FED" w:rsidP="008F4FED">
            <w:pPr>
              <w:pStyle w:val="ListParagraph"/>
            </w:pPr>
          </w:p>
        </w:tc>
        <w:tc>
          <w:tcPr>
            <w:tcW w:w="2409" w:type="dxa"/>
          </w:tcPr>
          <w:p w14:paraId="3100C0EF" w14:textId="15CC6BE9" w:rsidR="00B63965" w:rsidRDefault="00AE2910" w:rsidP="00B63965">
            <w:hyperlink r:id="rId27" w:history="1">
              <w:r w:rsidR="00B63965">
                <w:rPr>
                  <w:rStyle w:val="Hyperlink"/>
                </w:rPr>
                <w:t>Setting up a Shared Table Project in Your Local Area</w:t>
              </w:r>
            </w:hyperlink>
          </w:p>
        </w:tc>
      </w:tr>
      <w:tr w:rsidR="00B63965" w14:paraId="61F30402" w14:textId="77777777" w:rsidTr="00D13FA8">
        <w:tc>
          <w:tcPr>
            <w:tcW w:w="1418" w:type="dxa"/>
            <w:vMerge/>
          </w:tcPr>
          <w:p w14:paraId="7AB1E115" w14:textId="77777777" w:rsidR="00B63965" w:rsidRDefault="00B63965" w:rsidP="00B63965"/>
        </w:tc>
        <w:tc>
          <w:tcPr>
            <w:tcW w:w="6663" w:type="dxa"/>
          </w:tcPr>
          <w:p w14:paraId="1514EEF9" w14:textId="77777777" w:rsidR="00B63965" w:rsidRDefault="00B63965" w:rsidP="00B63965">
            <w:r>
              <w:t>This guide is designed to support you through the first steps of setting up a successful social eating project. The guide explores some of the key factors required to create social eating environments and includes a range of useful information and resources including:</w:t>
            </w:r>
          </w:p>
          <w:p w14:paraId="5F20822C" w14:textId="77777777" w:rsidR="00B63965" w:rsidRDefault="00B63965" w:rsidP="00B63965"/>
          <w:p w14:paraId="7D2EC944" w14:textId="77777777" w:rsidR="00B63965" w:rsidRDefault="00B63965" w:rsidP="00B63965">
            <w:pPr>
              <w:pStyle w:val="ListParagraph"/>
              <w:numPr>
                <w:ilvl w:val="0"/>
                <w:numId w:val="5"/>
              </w:numPr>
            </w:pPr>
            <w:r>
              <w:t>Different models of social eating</w:t>
            </w:r>
          </w:p>
          <w:p w14:paraId="06EC3C81" w14:textId="77777777" w:rsidR="00B63965" w:rsidRDefault="00B63965" w:rsidP="00B63965">
            <w:pPr>
              <w:pStyle w:val="ListParagraph"/>
              <w:numPr>
                <w:ilvl w:val="0"/>
                <w:numId w:val="5"/>
              </w:numPr>
            </w:pPr>
            <w:r>
              <w:t>Case studies</w:t>
            </w:r>
          </w:p>
          <w:p w14:paraId="2FD9CBA6" w14:textId="77777777" w:rsidR="00B63965" w:rsidRDefault="00B63965" w:rsidP="00B63965">
            <w:pPr>
              <w:pStyle w:val="ListParagraph"/>
              <w:numPr>
                <w:ilvl w:val="0"/>
                <w:numId w:val="5"/>
              </w:numPr>
            </w:pPr>
            <w:r>
              <w:t>Marketing and Promotion</w:t>
            </w:r>
          </w:p>
          <w:p w14:paraId="51666E47" w14:textId="77777777" w:rsidR="00B63965" w:rsidRDefault="00B63965" w:rsidP="00B63965"/>
          <w:p w14:paraId="27363D6C" w14:textId="77777777" w:rsidR="00B63965" w:rsidRDefault="00B63965" w:rsidP="00B63965">
            <w:r>
              <w:t>There is also a Technical Handbook offering further support and advice for organising and running a session.</w:t>
            </w:r>
          </w:p>
          <w:p w14:paraId="61A184DD" w14:textId="2B0984BE" w:rsidR="008F4FED" w:rsidRDefault="008F4FED" w:rsidP="00B63965"/>
        </w:tc>
        <w:tc>
          <w:tcPr>
            <w:tcW w:w="2409" w:type="dxa"/>
          </w:tcPr>
          <w:p w14:paraId="346B62D3" w14:textId="45FA07F3" w:rsidR="00B63965" w:rsidRDefault="00AE2910" w:rsidP="00B63965">
            <w:hyperlink r:id="rId28" w:history="1">
              <w:r w:rsidR="00B63965">
                <w:rPr>
                  <w:rStyle w:val="Hyperlink"/>
                </w:rPr>
                <w:t>Social Eating Guide</w:t>
              </w:r>
            </w:hyperlink>
          </w:p>
          <w:p w14:paraId="16BB1677" w14:textId="77777777" w:rsidR="00B63965" w:rsidRDefault="00B63965" w:rsidP="00B63965"/>
          <w:p w14:paraId="22599698" w14:textId="273EADB1" w:rsidR="00B63965" w:rsidRDefault="00AE2910" w:rsidP="00B63965">
            <w:hyperlink r:id="rId29" w:history="1">
              <w:r w:rsidR="00B63965">
                <w:rPr>
                  <w:rStyle w:val="Hyperlink"/>
                </w:rPr>
                <w:t>Technical Handbook</w:t>
              </w:r>
            </w:hyperlink>
          </w:p>
        </w:tc>
      </w:tr>
      <w:tr w:rsidR="0015421B" w14:paraId="45E98564" w14:textId="77777777" w:rsidTr="00D13FA8">
        <w:tc>
          <w:tcPr>
            <w:tcW w:w="1418" w:type="dxa"/>
          </w:tcPr>
          <w:p w14:paraId="26EC84DC" w14:textId="2C67B665" w:rsidR="0015421B" w:rsidRDefault="00A7032C" w:rsidP="00B63965">
            <w:r>
              <w:t>Community Groups</w:t>
            </w:r>
          </w:p>
        </w:tc>
        <w:tc>
          <w:tcPr>
            <w:tcW w:w="6663" w:type="dxa"/>
          </w:tcPr>
          <w:p w14:paraId="5AB1B19B" w14:textId="587CFB69" w:rsidR="0015421B" w:rsidRDefault="00A7032C" w:rsidP="00B63965">
            <w:r>
              <w:t xml:space="preserve">Created by Leicester Ageing Together, this toolkit covers a wide range of useful information </w:t>
            </w:r>
            <w:r w:rsidR="00C2167E">
              <w:t>about</w:t>
            </w:r>
            <w:r>
              <w:t xml:space="preserve"> </w:t>
            </w:r>
            <w:r w:rsidR="001824F6">
              <w:t>setting up a group or activity</w:t>
            </w:r>
            <w:r w:rsidR="005B4787">
              <w:t xml:space="preserve"> which would be particularly useful to anyone thinking of starting up a community group or activity. </w:t>
            </w:r>
            <w:r w:rsidR="00797329">
              <w:t xml:space="preserve"> </w:t>
            </w:r>
          </w:p>
        </w:tc>
        <w:tc>
          <w:tcPr>
            <w:tcW w:w="2409" w:type="dxa"/>
          </w:tcPr>
          <w:p w14:paraId="6DF75E4C" w14:textId="3D8FFF08" w:rsidR="0015421B" w:rsidRDefault="00AE2910" w:rsidP="00B63965">
            <w:hyperlink r:id="rId30" w:history="1">
              <w:r w:rsidR="006C54C6">
                <w:rPr>
                  <w:color w:val="0000FF"/>
                  <w:u w:val="single"/>
                </w:rPr>
                <w:t>A Toolkit for Community Groups</w:t>
              </w:r>
            </w:hyperlink>
          </w:p>
        </w:tc>
      </w:tr>
      <w:tr w:rsidR="00B63965" w14:paraId="1A0F6BA2" w14:textId="77777777" w:rsidTr="00D13FA8">
        <w:tc>
          <w:tcPr>
            <w:tcW w:w="1418" w:type="dxa"/>
          </w:tcPr>
          <w:p w14:paraId="682BE805" w14:textId="21762454" w:rsidR="00B63965" w:rsidRDefault="00B63965" w:rsidP="00B63965">
            <w:r>
              <w:t>Creating a Cohesive Programme</w:t>
            </w:r>
          </w:p>
        </w:tc>
        <w:tc>
          <w:tcPr>
            <w:tcW w:w="6663" w:type="dxa"/>
          </w:tcPr>
          <w:p w14:paraId="015DFD4D" w14:textId="6D48AC8C" w:rsidR="00B63965" w:rsidRDefault="00B63965" w:rsidP="00B63965">
            <w:r>
              <w:t xml:space="preserve">This toolkit by Ageing Better’s ‘Time to Shine’ in Leeds aims to share practical learning points on key topics and is accompanied by a learning report </w:t>
            </w:r>
            <w:hyperlink r:id="rId31" w:history="1">
              <w:r>
                <w:rPr>
                  <w:color w:val="0000FF"/>
                  <w:u w:val="single"/>
                </w:rPr>
                <w:t>'Greater than the sum of its parts: Creating a cohesive programme'</w:t>
              </w:r>
            </w:hyperlink>
            <w:r>
              <w:t>. The purpose of both the toolkit and learning report is to provide practical help to others who are interested in creating a similar programme approach within large-scale or small-scale pro</w:t>
            </w:r>
            <w:r w:rsidR="00A61F01">
              <w:t>jects</w:t>
            </w:r>
            <w:r>
              <w:t xml:space="preserve">. </w:t>
            </w:r>
          </w:p>
          <w:p w14:paraId="7770EE17" w14:textId="566BD1D7" w:rsidR="00B63965" w:rsidRDefault="00B63965" w:rsidP="00B63965"/>
        </w:tc>
        <w:tc>
          <w:tcPr>
            <w:tcW w:w="2409" w:type="dxa"/>
          </w:tcPr>
          <w:p w14:paraId="426AE63C" w14:textId="5E097C21" w:rsidR="00B63965" w:rsidRDefault="00AE2910" w:rsidP="00B63965">
            <w:hyperlink r:id="rId32" w:history="1">
              <w:r w:rsidR="001C1B6B">
                <w:rPr>
                  <w:color w:val="0000FF"/>
                  <w:u w:val="single"/>
                </w:rPr>
                <w:t>Creating a Cohesive Programme: A Time to Shine Toolkit</w:t>
              </w:r>
            </w:hyperlink>
          </w:p>
        </w:tc>
      </w:tr>
    </w:tbl>
    <w:p w14:paraId="166CF0D0" w14:textId="77777777" w:rsidR="00A31076" w:rsidRDefault="00A31076" w:rsidP="008A1F63">
      <w:pPr>
        <w:jc w:val="center"/>
      </w:pPr>
    </w:p>
    <w:p w14:paraId="23F8F889" w14:textId="1541ACA8" w:rsidR="00440ED9" w:rsidRDefault="008C14BF" w:rsidP="008A1F63">
      <w:pPr>
        <w:jc w:val="center"/>
      </w:pPr>
      <w:r>
        <w:t xml:space="preserve">You can find more of the Ageing Better resources </w:t>
      </w:r>
      <w:r w:rsidR="0089343B">
        <w:t xml:space="preserve">from </w:t>
      </w:r>
      <w:r>
        <w:t xml:space="preserve">including local evaluations, learning reports, insight reports, </w:t>
      </w:r>
      <w:r w:rsidR="00BD13D1">
        <w:t>factsheets and more</w:t>
      </w:r>
      <w:r w:rsidR="00600608">
        <w:t xml:space="preserve"> </w:t>
      </w:r>
      <w:hyperlink r:id="rId33" w:history="1">
        <w:r w:rsidR="00BD13D1">
          <w:rPr>
            <w:color w:val="0000FF"/>
            <w:u w:val="single"/>
          </w:rPr>
          <w:t>here</w:t>
        </w:r>
      </w:hyperlink>
      <w:r w:rsidR="0089343B" w:rsidRPr="0089343B">
        <w:rPr>
          <w:color w:val="0000FF"/>
        </w:rPr>
        <w:t xml:space="preserve">. </w:t>
      </w:r>
      <w:r w:rsidR="0089343B">
        <w:t xml:space="preserve">There </w:t>
      </w:r>
      <w:r w:rsidR="00FA45DC">
        <w:t xml:space="preserve">is </w:t>
      </w:r>
      <w:r w:rsidR="00A61F01">
        <w:t xml:space="preserve">also </w:t>
      </w:r>
      <w:r w:rsidR="00FA45DC">
        <w:t xml:space="preserve">a collection of </w:t>
      </w:r>
      <w:r w:rsidR="0089343B">
        <w:t>national learning reports</w:t>
      </w:r>
      <w:r w:rsidR="00FA45DC">
        <w:t xml:space="preserve"> covering a range of topics available</w:t>
      </w:r>
      <w:r w:rsidR="00D72346">
        <w:t xml:space="preserve"> in this</w:t>
      </w:r>
      <w:r w:rsidR="00FA45DC">
        <w:t xml:space="preserve"> </w:t>
      </w:r>
      <w:hyperlink r:id="rId34" w:history="1">
        <w:r w:rsidR="00D72346">
          <w:rPr>
            <w:rStyle w:val="Hyperlink"/>
          </w:rPr>
          <w:t>document</w:t>
        </w:r>
      </w:hyperlink>
      <w:r w:rsidR="00D72346">
        <w:t>.</w:t>
      </w:r>
    </w:p>
    <w:p w14:paraId="44B475AD" w14:textId="5A135A1E" w:rsidR="00D72346" w:rsidRDefault="00D72346" w:rsidP="008A1F63">
      <w:pPr>
        <w:jc w:val="center"/>
      </w:pPr>
    </w:p>
    <w:p w14:paraId="6693B3E4" w14:textId="4E8F1432" w:rsidR="00B34081" w:rsidRPr="0089343B" w:rsidRDefault="00E73203" w:rsidP="008A1F63">
      <w:pPr>
        <w:jc w:val="center"/>
      </w:pPr>
      <w:r>
        <w:t xml:space="preserve"> </w:t>
      </w:r>
    </w:p>
    <w:sectPr w:rsidR="00B34081" w:rsidRPr="0089343B" w:rsidSect="00773ADF">
      <w:headerReference w:type="default" r:id="rId35"/>
      <w:pgSz w:w="11906" w:h="16838"/>
      <w:pgMar w:top="737" w:right="851"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2366A" w14:textId="77777777" w:rsidR="00350018" w:rsidRDefault="00350018" w:rsidP="00666D83">
      <w:pPr>
        <w:spacing w:after="0" w:line="240" w:lineRule="auto"/>
      </w:pPr>
      <w:r>
        <w:separator/>
      </w:r>
    </w:p>
  </w:endnote>
  <w:endnote w:type="continuationSeparator" w:id="0">
    <w:p w14:paraId="4424FD3D" w14:textId="77777777" w:rsidR="00350018" w:rsidRDefault="00350018" w:rsidP="00666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C4B1" w14:textId="77777777" w:rsidR="00350018" w:rsidRDefault="00350018" w:rsidP="00666D83">
      <w:pPr>
        <w:spacing w:after="0" w:line="240" w:lineRule="auto"/>
      </w:pPr>
      <w:r>
        <w:separator/>
      </w:r>
    </w:p>
  </w:footnote>
  <w:footnote w:type="continuationSeparator" w:id="0">
    <w:p w14:paraId="75A83F55" w14:textId="77777777" w:rsidR="00350018" w:rsidRDefault="00350018" w:rsidP="00666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A02B" w14:textId="023210DD" w:rsidR="0026742F" w:rsidRDefault="0026742F">
    <w:pPr>
      <w:pStyle w:val="Header"/>
    </w:pPr>
    <w:r w:rsidRPr="00F950EA">
      <w:rPr>
        <w:noProof/>
        <w:color w:val="2B579A"/>
        <w:sz w:val="28"/>
        <w:szCs w:val="28"/>
        <w:shd w:val="clear" w:color="auto" w:fill="E6E6E6"/>
      </w:rPr>
      <w:drawing>
        <wp:anchor distT="0" distB="0" distL="114300" distR="114300" simplePos="0" relativeHeight="251659264" behindDoc="1" locked="1" layoutInCell="1" allowOverlap="1" wp14:anchorId="033589D9" wp14:editId="06EABC4B">
          <wp:simplePos x="0" y="0"/>
          <wp:positionH relativeFrom="margin">
            <wp:posOffset>4572000</wp:posOffset>
          </wp:positionH>
          <wp:positionV relativeFrom="page">
            <wp:posOffset>11430</wp:posOffset>
          </wp:positionV>
          <wp:extent cx="2404110" cy="1174750"/>
          <wp:effectExtent l="0" t="0" r="0" b="6350"/>
          <wp:wrapTight wrapText="bothSides">
            <wp:wrapPolygon edited="0">
              <wp:start x="0" y="0"/>
              <wp:lineTo x="0" y="21366"/>
              <wp:lineTo x="21395" y="21366"/>
              <wp:lineTo x="213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_CommunityFund_Logo_2018_RGB-BiL.jpg"/>
                  <pic:cNvPicPr/>
                </pic:nvPicPr>
                <pic:blipFill>
                  <a:blip r:embed="rId1"/>
                  <a:stretch>
                    <a:fillRect/>
                  </a:stretch>
                </pic:blipFill>
                <pic:spPr>
                  <a:xfrm>
                    <a:off x="0" y="0"/>
                    <a:ext cx="2404110" cy="1174750"/>
                  </a:xfrm>
                  <a:prstGeom prst="rect">
                    <a:avLst/>
                  </a:prstGeom>
                </pic:spPr>
              </pic:pic>
            </a:graphicData>
          </a:graphic>
          <wp14:sizeRelH relativeFrom="page">
            <wp14:pctWidth>0</wp14:pctWidth>
          </wp14:sizeRelH>
          <wp14:sizeRelV relativeFrom="page">
            <wp14:pctHeight>0</wp14:pctHeight>
          </wp14:sizeRelV>
        </wp:anchor>
      </w:drawing>
    </w:r>
  </w:p>
  <w:p w14:paraId="089BEC3B" w14:textId="7AC6BBC5" w:rsidR="00666D83" w:rsidRDefault="00666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F17"/>
    <w:multiLevelType w:val="hybridMultilevel"/>
    <w:tmpl w:val="6770A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A074A"/>
    <w:multiLevelType w:val="hybridMultilevel"/>
    <w:tmpl w:val="B544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C7E55"/>
    <w:multiLevelType w:val="hybridMultilevel"/>
    <w:tmpl w:val="3928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20411"/>
    <w:multiLevelType w:val="hybridMultilevel"/>
    <w:tmpl w:val="39BC4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3E54F6"/>
    <w:multiLevelType w:val="hybridMultilevel"/>
    <w:tmpl w:val="244CE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05ABD"/>
    <w:multiLevelType w:val="hybridMultilevel"/>
    <w:tmpl w:val="B4AE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F7C07"/>
    <w:multiLevelType w:val="hybridMultilevel"/>
    <w:tmpl w:val="F00CB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83B51"/>
    <w:multiLevelType w:val="hybridMultilevel"/>
    <w:tmpl w:val="8960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6248BF"/>
    <w:multiLevelType w:val="hybridMultilevel"/>
    <w:tmpl w:val="AFA4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B67FC7"/>
    <w:multiLevelType w:val="hybridMultilevel"/>
    <w:tmpl w:val="B9543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8D17C0"/>
    <w:multiLevelType w:val="hybridMultilevel"/>
    <w:tmpl w:val="B8D8C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FF0E3A"/>
    <w:multiLevelType w:val="hybridMultilevel"/>
    <w:tmpl w:val="0CB2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B922FF"/>
    <w:multiLevelType w:val="hybridMultilevel"/>
    <w:tmpl w:val="AFE6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F11C16"/>
    <w:multiLevelType w:val="hybridMultilevel"/>
    <w:tmpl w:val="4F46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13"/>
  </w:num>
  <w:num w:numId="5">
    <w:abstractNumId w:val="9"/>
  </w:num>
  <w:num w:numId="6">
    <w:abstractNumId w:val="3"/>
  </w:num>
  <w:num w:numId="7">
    <w:abstractNumId w:val="1"/>
  </w:num>
  <w:num w:numId="8">
    <w:abstractNumId w:val="7"/>
  </w:num>
  <w:num w:numId="9">
    <w:abstractNumId w:val="10"/>
  </w:num>
  <w:num w:numId="10">
    <w:abstractNumId w:val="0"/>
  </w:num>
  <w:num w:numId="11">
    <w:abstractNumId w:val="12"/>
  </w:num>
  <w:num w:numId="12">
    <w:abstractNumId w:val="4"/>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D83"/>
    <w:rsid w:val="00014E27"/>
    <w:rsid w:val="00021D79"/>
    <w:rsid w:val="00023869"/>
    <w:rsid w:val="00030F4E"/>
    <w:rsid w:val="0003671D"/>
    <w:rsid w:val="000474A4"/>
    <w:rsid w:val="000527D4"/>
    <w:rsid w:val="00084D8F"/>
    <w:rsid w:val="00090E25"/>
    <w:rsid w:val="000B6CEE"/>
    <w:rsid w:val="000C08E8"/>
    <w:rsid w:val="000C0D75"/>
    <w:rsid w:val="000C6C7B"/>
    <w:rsid w:val="000D62E1"/>
    <w:rsid w:val="000E1959"/>
    <w:rsid w:val="000E3325"/>
    <w:rsid w:val="00112231"/>
    <w:rsid w:val="001125CD"/>
    <w:rsid w:val="001171DD"/>
    <w:rsid w:val="00125BFD"/>
    <w:rsid w:val="00130B41"/>
    <w:rsid w:val="001345EB"/>
    <w:rsid w:val="001377F8"/>
    <w:rsid w:val="0015026A"/>
    <w:rsid w:val="0015421B"/>
    <w:rsid w:val="00167E03"/>
    <w:rsid w:val="001824F6"/>
    <w:rsid w:val="00182C6D"/>
    <w:rsid w:val="0018410A"/>
    <w:rsid w:val="00192CD4"/>
    <w:rsid w:val="0019592E"/>
    <w:rsid w:val="001B01DC"/>
    <w:rsid w:val="001B0896"/>
    <w:rsid w:val="001C129B"/>
    <w:rsid w:val="001C1B6B"/>
    <w:rsid w:val="001D0ABA"/>
    <w:rsid w:val="001D3B30"/>
    <w:rsid w:val="001D3F9E"/>
    <w:rsid w:val="001D415F"/>
    <w:rsid w:val="001D5E90"/>
    <w:rsid w:val="001D60BC"/>
    <w:rsid w:val="0021043E"/>
    <w:rsid w:val="00213CA7"/>
    <w:rsid w:val="0021684E"/>
    <w:rsid w:val="00247666"/>
    <w:rsid w:val="002606EC"/>
    <w:rsid w:val="002608AC"/>
    <w:rsid w:val="002617E5"/>
    <w:rsid w:val="00265A48"/>
    <w:rsid w:val="0026742F"/>
    <w:rsid w:val="00267FD9"/>
    <w:rsid w:val="00270C07"/>
    <w:rsid w:val="00273353"/>
    <w:rsid w:val="002830A0"/>
    <w:rsid w:val="00285B5C"/>
    <w:rsid w:val="0029535A"/>
    <w:rsid w:val="00296832"/>
    <w:rsid w:val="002A3AD3"/>
    <w:rsid w:val="002A3DDB"/>
    <w:rsid w:val="002A3FAA"/>
    <w:rsid w:val="002B4BE8"/>
    <w:rsid w:val="002D1EB2"/>
    <w:rsid w:val="002D409E"/>
    <w:rsid w:val="002E67A7"/>
    <w:rsid w:val="00301A1D"/>
    <w:rsid w:val="003201CA"/>
    <w:rsid w:val="00332B19"/>
    <w:rsid w:val="00336280"/>
    <w:rsid w:val="00350018"/>
    <w:rsid w:val="0035491F"/>
    <w:rsid w:val="00365C36"/>
    <w:rsid w:val="00365E54"/>
    <w:rsid w:val="00374D0E"/>
    <w:rsid w:val="00382810"/>
    <w:rsid w:val="00384842"/>
    <w:rsid w:val="003943C3"/>
    <w:rsid w:val="0039574A"/>
    <w:rsid w:val="00397E0B"/>
    <w:rsid w:val="003B6551"/>
    <w:rsid w:val="003B7A29"/>
    <w:rsid w:val="003D036E"/>
    <w:rsid w:val="003D269B"/>
    <w:rsid w:val="003D28F8"/>
    <w:rsid w:val="003D7C1D"/>
    <w:rsid w:val="003E02D9"/>
    <w:rsid w:val="003F755E"/>
    <w:rsid w:val="00410312"/>
    <w:rsid w:val="00412CDE"/>
    <w:rsid w:val="00422320"/>
    <w:rsid w:val="00425834"/>
    <w:rsid w:val="00425CF7"/>
    <w:rsid w:val="00431557"/>
    <w:rsid w:val="00440ED9"/>
    <w:rsid w:val="00440FD3"/>
    <w:rsid w:val="0044349D"/>
    <w:rsid w:val="00444256"/>
    <w:rsid w:val="00461283"/>
    <w:rsid w:val="00466819"/>
    <w:rsid w:val="00485D16"/>
    <w:rsid w:val="00485DB2"/>
    <w:rsid w:val="00493ED1"/>
    <w:rsid w:val="004A2346"/>
    <w:rsid w:val="004D0806"/>
    <w:rsid w:val="004F1B9D"/>
    <w:rsid w:val="004F53F9"/>
    <w:rsid w:val="005049DF"/>
    <w:rsid w:val="00542D2C"/>
    <w:rsid w:val="00544991"/>
    <w:rsid w:val="005501BE"/>
    <w:rsid w:val="00554763"/>
    <w:rsid w:val="00563760"/>
    <w:rsid w:val="00567EA0"/>
    <w:rsid w:val="005752FD"/>
    <w:rsid w:val="005767B0"/>
    <w:rsid w:val="005829F2"/>
    <w:rsid w:val="00585B07"/>
    <w:rsid w:val="005940FC"/>
    <w:rsid w:val="00594720"/>
    <w:rsid w:val="005B4787"/>
    <w:rsid w:val="005B484F"/>
    <w:rsid w:val="005C4620"/>
    <w:rsid w:val="005C58F8"/>
    <w:rsid w:val="005E4E36"/>
    <w:rsid w:val="005F016D"/>
    <w:rsid w:val="005F0CC5"/>
    <w:rsid w:val="00600608"/>
    <w:rsid w:val="00610FD7"/>
    <w:rsid w:val="0061498F"/>
    <w:rsid w:val="00617926"/>
    <w:rsid w:val="00634E0A"/>
    <w:rsid w:val="006358AA"/>
    <w:rsid w:val="006533F3"/>
    <w:rsid w:val="00655AFA"/>
    <w:rsid w:val="00666D83"/>
    <w:rsid w:val="006741A4"/>
    <w:rsid w:val="00677DBB"/>
    <w:rsid w:val="00680B82"/>
    <w:rsid w:val="00695C87"/>
    <w:rsid w:val="006A2F42"/>
    <w:rsid w:val="006A33EB"/>
    <w:rsid w:val="006C54C6"/>
    <w:rsid w:val="006C7660"/>
    <w:rsid w:val="006E75B8"/>
    <w:rsid w:val="006F3D0C"/>
    <w:rsid w:val="006F5784"/>
    <w:rsid w:val="00715D77"/>
    <w:rsid w:val="00730934"/>
    <w:rsid w:val="00733099"/>
    <w:rsid w:val="007351A4"/>
    <w:rsid w:val="00735990"/>
    <w:rsid w:val="007475C2"/>
    <w:rsid w:val="00750EE4"/>
    <w:rsid w:val="0075319E"/>
    <w:rsid w:val="00773ADF"/>
    <w:rsid w:val="0077499C"/>
    <w:rsid w:val="00797329"/>
    <w:rsid w:val="007A3694"/>
    <w:rsid w:val="007A3A4F"/>
    <w:rsid w:val="007A4543"/>
    <w:rsid w:val="007A5A57"/>
    <w:rsid w:val="007C29C5"/>
    <w:rsid w:val="007D1D05"/>
    <w:rsid w:val="007E6DC3"/>
    <w:rsid w:val="008036FC"/>
    <w:rsid w:val="00805A72"/>
    <w:rsid w:val="008205BC"/>
    <w:rsid w:val="00821D0B"/>
    <w:rsid w:val="00826911"/>
    <w:rsid w:val="00845265"/>
    <w:rsid w:val="00872C83"/>
    <w:rsid w:val="00875751"/>
    <w:rsid w:val="00883A9C"/>
    <w:rsid w:val="0089343B"/>
    <w:rsid w:val="008A1F63"/>
    <w:rsid w:val="008A66EE"/>
    <w:rsid w:val="008B2047"/>
    <w:rsid w:val="008B261B"/>
    <w:rsid w:val="008B6CFF"/>
    <w:rsid w:val="008C14BF"/>
    <w:rsid w:val="008C2C96"/>
    <w:rsid w:val="008E6079"/>
    <w:rsid w:val="008F478E"/>
    <w:rsid w:val="008F4FED"/>
    <w:rsid w:val="0090243E"/>
    <w:rsid w:val="0090338C"/>
    <w:rsid w:val="00906C95"/>
    <w:rsid w:val="00914619"/>
    <w:rsid w:val="00922BA6"/>
    <w:rsid w:val="009243EF"/>
    <w:rsid w:val="009265C8"/>
    <w:rsid w:val="00926E3F"/>
    <w:rsid w:val="00926F79"/>
    <w:rsid w:val="009314A8"/>
    <w:rsid w:val="009406BB"/>
    <w:rsid w:val="0094617A"/>
    <w:rsid w:val="00946D98"/>
    <w:rsid w:val="0094704C"/>
    <w:rsid w:val="00960CB4"/>
    <w:rsid w:val="009827D5"/>
    <w:rsid w:val="00994BBB"/>
    <w:rsid w:val="009A32B9"/>
    <w:rsid w:val="009D08C3"/>
    <w:rsid w:val="009E6793"/>
    <w:rsid w:val="00A11E3B"/>
    <w:rsid w:val="00A255E8"/>
    <w:rsid w:val="00A27435"/>
    <w:rsid w:val="00A31076"/>
    <w:rsid w:val="00A33F8C"/>
    <w:rsid w:val="00A4734F"/>
    <w:rsid w:val="00A52583"/>
    <w:rsid w:val="00A57591"/>
    <w:rsid w:val="00A61F01"/>
    <w:rsid w:val="00A701C5"/>
    <w:rsid w:val="00A7032C"/>
    <w:rsid w:val="00A91ED3"/>
    <w:rsid w:val="00AA03CF"/>
    <w:rsid w:val="00AA196D"/>
    <w:rsid w:val="00AA3495"/>
    <w:rsid w:val="00AB64CF"/>
    <w:rsid w:val="00AB7A40"/>
    <w:rsid w:val="00AC1F6D"/>
    <w:rsid w:val="00AC72A0"/>
    <w:rsid w:val="00AD0A4D"/>
    <w:rsid w:val="00AE2910"/>
    <w:rsid w:val="00AE2A37"/>
    <w:rsid w:val="00AE487C"/>
    <w:rsid w:val="00B10FD7"/>
    <w:rsid w:val="00B21E56"/>
    <w:rsid w:val="00B2605C"/>
    <w:rsid w:val="00B34081"/>
    <w:rsid w:val="00B42D89"/>
    <w:rsid w:val="00B44C04"/>
    <w:rsid w:val="00B47BBC"/>
    <w:rsid w:val="00B50267"/>
    <w:rsid w:val="00B51FF8"/>
    <w:rsid w:val="00B566B4"/>
    <w:rsid w:val="00B6220E"/>
    <w:rsid w:val="00B63965"/>
    <w:rsid w:val="00B75C47"/>
    <w:rsid w:val="00B921B5"/>
    <w:rsid w:val="00BA5FA4"/>
    <w:rsid w:val="00BA707B"/>
    <w:rsid w:val="00BC0AFC"/>
    <w:rsid w:val="00BD13D1"/>
    <w:rsid w:val="00BE6C2F"/>
    <w:rsid w:val="00BE6F16"/>
    <w:rsid w:val="00C031CC"/>
    <w:rsid w:val="00C13FCD"/>
    <w:rsid w:val="00C14C88"/>
    <w:rsid w:val="00C16560"/>
    <w:rsid w:val="00C17F39"/>
    <w:rsid w:val="00C2167E"/>
    <w:rsid w:val="00C6469E"/>
    <w:rsid w:val="00C64E91"/>
    <w:rsid w:val="00C95263"/>
    <w:rsid w:val="00CA0793"/>
    <w:rsid w:val="00CB60FF"/>
    <w:rsid w:val="00CC5FD4"/>
    <w:rsid w:val="00CD1ACE"/>
    <w:rsid w:val="00CD5FEC"/>
    <w:rsid w:val="00CF18D1"/>
    <w:rsid w:val="00D02327"/>
    <w:rsid w:val="00D13B2C"/>
    <w:rsid w:val="00D13FA8"/>
    <w:rsid w:val="00D23257"/>
    <w:rsid w:val="00D36FD9"/>
    <w:rsid w:val="00D4302F"/>
    <w:rsid w:val="00D43A94"/>
    <w:rsid w:val="00D56A72"/>
    <w:rsid w:val="00D72346"/>
    <w:rsid w:val="00D75D47"/>
    <w:rsid w:val="00D77460"/>
    <w:rsid w:val="00D82B1C"/>
    <w:rsid w:val="00D84AB2"/>
    <w:rsid w:val="00D8745E"/>
    <w:rsid w:val="00D907BD"/>
    <w:rsid w:val="00D94390"/>
    <w:rsid w:val="00D96BDB"/>
    <w:rsid w:val="00DB1C31"/>
    <w:rsid w:val="00DB22EA"/>
    <w:rsid w:val="00DB305F"/>
    <w:rsid w:val="00DB4F07"/>
    <w:rsid w:val="00DB74E9"/>
    <w:rsid w:val="00DD4153"/>
    <w:rsid w:val="00DE04C2"/>
    <w:rsid w:val="00DE1026"/>
    <w:rsid w:val="00DE30CC"/>
    <w:rsid w:val="00DF5DB5"/>
    <w:rsid w:val="00E32349"/>
    <w:rsid w:val="00E53235"/>
    <w:rsid w:val="00E73147"/>
    <w:rsid w:val="00E73203"/>
    <w:rsid w:val="00E903A9"/>
    <w:rsid w:val="00E92515"/>
    <w:rsid w:val="00EC1339"/>
    <w:rsid w:val="00EC3354"/>
    <w:rsid w:val="00ED0E6F"/>
    <w:rsid w:val="00ED7DA0"/>
    <w:rsid w:val="00EE3A19"/>
    <w:rsid w:val="00EE6B28"/>
    <w:rsid w:val="00EF28D5"/>
    <w:rsid w:val="00F05C02"/>
    <w:rsid w:val="00F07153"/>
    <w:rsid w:val="00F10891"/>
    <w:rsid w:val="00F21ED8"/>
    <w:rsid w:val="00F3207E"/>
    <w:rsid w:val="00F45ED7"/>
    <w:rsid w:val="00F52B13"/>
    <w:rsid w:val="00F53585"/>
    <w:rsid w:val="00F54604"/>
    <w:rsid w:val="00F5613F"/>
    <w:rsid w:val="00F6422A"/>
    <w:rsid w:val="00F8037E"/>
    <w:rsid w:val="00F81D10"/>
    <w:rsid w:val="00F822A7"/>
    <w:rsid w:val="00F915ED"/>
    <w:rsid w:val="00F950EA"/>
    <w:rsid w:val="00F957CC"/>
    <w:rsid w:val="00FA272B"/>
    <w:rsid w:val="00FA30FC"/>
    <w:rsid w:val="00FA45DC"/>
    <w:rsid w:val="00FA6088"/>
    <w:rsid w:val="00FB0BEC"/>
    <w:rsid w:val="00FD5863"/>
    <w:rsid w:val="00FE6875"/>
    <w:rsid w:val="00FE74A6"/>
    <w:rsid w:val="00FF3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BD95D"/>
  <w15:chartTrackingRefBased/>
  <w15:docId w15:val="{620C1DE9-9AAB-4504-8C00-993C242C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D83"/>
  </w:style>
  <w:style w:type="paragraph" w:styleId="Footer">
    <w:name w:val="footer"/>
    <w:basedOn w:val="Normal"/>
    <w:link w:val="FooterChar"/>
    <w:uiPriority w:val="99"/>
    <w:unhideWhenUsed/>
    <w:rsid w:val="00666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D83"/>
  </w:style>
  <w:style w:type="table" w:styleId="TableGrid">
    <w:name w:val="Table Grid"/>
    <w:basedOn w:val="TableNormal"/>
    <w:uiPriority w:val="39"/>
    <w:rsid w:val="003E0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02D9"/>
    <w:rPr>
      <w:color w:val="0563C1" w:themeColor="hyperlink"/>
      <w:u w:val="single"/>
    </w:rPr>
  </w:style>
  <w:style w:type="character" w:styleId="UnresolvedMention">
    <w:name w:val="Unresolved Mention"/>
    <w:basedOn w:val="DefaultParagraphFont"/>
    <w:uiPriority w:val="99"/>
    <w:semiHidden/>
    <w:unhideWhenUsed/>
    <w:rsid w:val="003E02D9"/>
    <w:rPr>
      <w:color w:val="605E5C"/>
      <w:shd w:val="clear" w:color="auto" w:fill="E1DFDD"/>
    </w:rPr>
  </w:style>
  <w:style w:type="paragraph" w:styleId="ListParagraph">
    <w:name w:val="List Paragraph"/>
    <w:basedOn w:val="Normal"/>
    <w:uiPriority w:val="34"/>
    <w:qFormat/>
    <w:rsid w:val="003E02D9"/>
    <w:pPr>
      <w:ind w:left="720"/>
      <w:contextualSpacing/>
    </w:pPr>
  </w:style>
  <w:style w:type="character" w:styleId="FollowedHyperlink">
    <w:name w:val="FollowedHyperlink"/>
    <w:basedOn w:val="DefaultParagraphFont"/>
    <w:uiPriority w:val="99"/>
    <w:semiHidden/>
    <w:unhideWhenUsed/>
    <w:rsid w:val="00C16560"/>
    <w:rPr>
      <w:color w:val="954F72" w:themeColor="followedHyperlink"/>
      <w:u w:val="single"/>
    </w:rPr>
  </w:style>
  <w:style w:type="character" w:styleId="CommentReference">
    <w:name w:val="annotation reference"/>
    <w:basedOn w:val="DefaultParagraphFont"/>
    <w:uiPriority w:val="99"/>
    <w:semiHidden/>
    <w:unhideWhenUsed/>
    <w:rsid w:val="00AC1F6D"/>
    <w:rPr>
      <w:sz w:val="16"/>
      <w:szCs w:val="16"/>
    </w:rPr>
  </w:style>
  <w:style w:type="paragraph" w:styleId="CommentText">
    <w:name w:val="annotation text"/>
    <w:basedOn w:val="Normal"/>
    <w:link w:val="CommentTextChar"/>
    <w:uiPriority w:val="99"/>
    <w:semiHidden/>
    <w:unhideWhenUsed/>
    <w:rsid w:val="00AC1F6D"/>
    <w:pPr>
      <w:spacing w:line="240" w:lineRule="auto"/>
    </w:pPr>
    <w:rPr>
      <w:sz w:val="20"/>
      <w:szCs w:val="20"/>
    </w:rPr>
  </w:style>
  <w:style w:type="character" w:customStyle="1" w:styleId="CommentTextChar">
    <w:name w:val="Comment Text Char"/>
    <w:basedOn w:val="DefaultParagraphFont"/>
    <w:link w:val="CommentText"/>
    <w:uiPriority w:val="99"/>
    <w:semiHidden/>
    <w:rsid w:val="00AC1F6D"/>
    <w:rPr>
      <w:sz w:val="20"/>
      <w:szCs w:val="20"/>
    </w:rPr>
  </w:style>
  <w:style w:type="paragraph" w:styleId="CommentSubject">
    <w:name w:val="annotation subject"/>
    <w:basedOn w:val="CommentText"/>
    <w:next w:val="CommentText"/>
    <w:link w:val="CommentSubjectChar"/>
    <w:uiPriority w:val="99"/>
    <w:semiHidden/>
    <w:unhideWhenUsed/>
    <w:rsid w:val="00AC1F6D"/>
    <w:rPr>
      <w:b/>
      <w:bCs/>
    </w:rPr>
  </w:style>
  <w:style w:type="character" w:customStyle="1" w:styleId="CommentSubjectChar">
    <w:name w:val="Comment Subject Char"/>
    <w:basedOn w:val="CommentTextChar"/>
    <w:link w:val="CommentSubject"/>
    <w:uiPriority w:val="99"/>
    <w:semiHidden/>
    <w:rsid w:val="00AC1F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nlcommunityfund.org.uk/insights/documents?q=Stronger+Together%3A+A+Co-production+Toolkit+from+Ageing+Better&amp;programme=&amp;portfolio=" TargetMode="External"/><Relationship Id="rId18" Type="http://schemas.openxmlformats.org/officeDocument/2006/relationships/hyperlink" Target="https://www.tnlcommunityfund.org.uk/insights/documents?q=Mapping+and+working+with+marginalised+communities&amp;programme=&amp;portfolio=" TargetMode="External"/><Relationship Id="rId26" Type="http://schemas.openxmlformats.org/officeDocument/2006/relationships/hyperlink" Target="https://www.tnlcommunityfund.org.uk/insights/documents?q=top+tips%3A+social+prescribing&amp;programme=ageing-better&amp;portfolio=&amp;doctype=guide" TargetMode="External"/><Relationship Id="rId3" Type="http://schemas.openxmlformats.org/officeDocument/2006/relationships/customXml" Target="../customXml/item3.xml"/><Relationship Id="rId21" Type="http://schemas.openxmlformats.org/officeDocument/2006/relationships/hyperlink" Target="https://www.tnlcommunityfund.org.uk/insights/documents?q=Bringing+different+ages+together+through+shared+activities&amp;programme=&amp;portfolio=" TargetMode="External"/><Relationship Id="rId34" Type="http://schemas.openxmlformats.org/officeDocument/2006/relationships/hyperlink" Target="https://www.tnlcommunityfund.org.uk/media/documents/ageing-better/Ageing-Better-National-Learning-report.pdf?mtime=20210820101220&amp;focal=none" TargetMode="External"/><Relationship Id="rId7" Type="http://schemas.openxmlformats.org/officeDocument/2006/relationships/webSettings" Target="webSettings.xml"/><Relationship Id="rId12" Type="http://schemas.openxmlformats.org/officeDocument/2006/relationships/hyperlink" Target="https://www.tnlcommunityfund.org.uk/insights/documents?q=co+production%3A+A+time+to+shine+toolkit&amp;programme=&amp;portfolio=&amp;doctype=toolkit" TargetMode="External"/><Relationship Id="rId17" Type="http://schemas.openxmlformats.org/officeDocument/2006/relationships/hyperlink" Target="https://www.tnlcommunityfund.org.uk/insights/documents?q=Tackling+Loneliness+and+Social+Isolation+in+Older+People%3A+How+to+make+a+difference+in+your+community+and+keep+your+activity+going&amp;programme=ageing-better&amp;portfolio=&amp;doctype=guide" TargetMode="External"/><Relationship Id="rId25" Type="http://schemas.openxmlformats.org/officeDocument/2006/relationships/hyperlink" Target="https://www.tnlcommunityfund.org.uk/insights/documents?q=Street+Outreach+and+Informal+Pop-up+Events+for+Older+People&amp;programme=&amp;portfolio=" TargetMode="External"/><Relationship Id="rId33" Type="http://schemas.openxmlformats.org/officeDocument/2006/relationships/hyperlink" Target="https://www.tnlcommunityfund.org.uk/insights/documents?q=&amp;programme=ageing-better&amp;portfolio=" TargetMode="External"/><Relationship Id="rId2" Type="http://schemas.openxmlformats.org/officeDocument/2006/relationships/customXml" Target="../customXml/item2.xml"/><Relationship Id="rId16" Type="http://schemas.openxmlformats.org/officeDocument/2006/relationships/hyperlink" Target="https://www.tnlcommunityfund.org.uk/insights/documents?q=Top+Tips+for+a+Successful+Activity&amp;programme=&amp;portfolio=" TargetMode="External"/><Relationship Id="rId20" Type="http://schemas.openxmlformats.org/officeDocument/2006/relationships/hyperlink" Target="https://www.tnlcommunityfund.org.uk/insights/documents?q=Digital+Skills+Toolkit&amp;programme=&amp;portfolio=" TargetMode="External"/><Relationship Id="rId29" Type="http://schemas.openxmlformats.org/officeDocument/2006/relationships/hyperlink" Target="https://www.tnlcommunityfund.org.uk/insights/documents?q=Technical+Handbook&amp;programme=&amp;portfoli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nlcommunityfund.org.uk/funding/strategic-investments/ageing-better" TargetMode="External"/><Relationship Id="rId24" Type="http://schemas.openxmlformats.org/officeDocument/2006/relationships/hyperlink" Target="https://www.tnlcommunityfund.org.uk/insights/documents?q=Age+and+Dementia+Friendly+Checklist&amp;programme=ageing-better&amp;portfolio=&amp;doctype=guide" TargetMode="External"/><Relationship Id="rId32" Type="http://schemas.openxmlformats.org/officeDocument/2006/relationships/hyperlink" Target="https://www.tnlcommunityfund.org.uk/insights/documents?q=creating+a+cohesive+programme&amp;programme=&amp;portfolio=&amp;doctype=toolkit"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tnlcommunityfund.org.uk/insights/documents?q=Tackling+Loneliness+and+Social+Isolation+in+Older+People%3A+How+to+get+more+men+involved&amp;programme=&amp;portfolio=" TargetMode="External"/><Relationship Id="rId23" Type="http://schemas.openxmlformats.org/officeDocument/2006/relationships/hyperlink" Target="https://www.tnlcommunityfund.org.uk/insights/documents?q=Age-Friendly+toolkit+ageless+thanet&amp;programme=ageing-better&amp;portfolio=&amp;doctype=toolkit" TargetMode="External"/><Relationship Id="rId28" Type="http://schemas.openxmlformats.org/officeDocument/2006/relationships/hyperlink" Target="https://www.tnlcommunityfund.org.uk/insights/documents?q=Social+Eating+Guide&amp;programme=&amp;portfolio=" TargetMode="External"/><Relationship Id="rId36"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www.tnlcommunityfund.org.uk/insights/documents?q=Friendship+Groups+Toolkit&amp;programme=&amp;portfolio=" TargetMode="External"/><Relationship Id="rId31" Type="http://schemas.openxmlformats.org/officeDocument/2006/relationships/hyperlink" Target="https://www.tnlcommunityfund.org.uk/insights/documents?q=Greater+than+the+sum+of+its+parts%3A+Creating+a+cohesive+programme&amp;programme=ageing-better&amp;portfoli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nlcommunityfund.org.uk/insights/documents?q=The+Warm+Welcome+Toolkit%3A+A+guide+to+running+welcoming+community+activities+with+older+people&amp;programme=&amp;portfolio=" TargetMode="External"/><Relationship Id="rId22" Type="http://schemas.openxmlformats.org/officeDocument/2006/relationships/hyperlink" Target="https://www.tnlcommunityfund.org.uk/insights/documents?q=Make+Your+Neighbourhood+Age-friendly&amp;programme=&amp;portfolio=" TargetMode="External"/><Relationship Id="rId27" Type="http://schemas.openxmlformats.org/officeDocument/2006/relationships/hyperlink" Target="https://www.tnlcommunityfund.org.uk/insights/documents?q=Setting+up+a+Shared+Table+Project+in+Your+Local+Area&amp;programme=&amp;portfolio=" TargetMode="External"/><Relationship Id="rId30" Type="http://schemas.openxmlformats.org/officeDocument/2006/relationships/hyperlink" Target="https://www.tnlcommunityfund.org.uk/insights/documents?q=A+Toolkit+for+Community+Groups&amp;programme=ageing-better&amp;portfolio=&amp;doctype=toolkit"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196B16D87CF4B8B0A712577313D74" ma:contentTypeVersion="18" ma:contentTypeDescription="Create a new document." ma:contentTypeScope="" ma:versionID="0d3fab122e4af3266ce2c44c1d890538">
  <xsd:schema xmlns:xsd="http://www.w3.org/2001/XMLSchema" xmlns:xs="http://www.w3.org/2001/XMLSchema" xmlns:p="http://schemas.microsoft.com/office/2006/metadata/properties" xmlns:ns2="cd2fd686-3630-43c9-afa8-387d5e7928ce" xmlns:ns3="221e86db-9c10-44a6-ab33-e29dc23658f1" targetNamespace="http://schemas.microsoft.com/office/2006/metadata/properties" ma:root="true" ma:fieldsID="d384f9c59bc45e0bfbf5fac2386af315" ns2:_="" ns3:_="">
    <xsd:import namespace="cd2fd686-3630-43c9-afa8-387d5e7928ce"/>
    <xsd:import namespace="221e86db-9c10-44a6-ab33-e29dc23658f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fd686-3630-43c9-afa8-387d5e7928c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1e86db-9c10-44a6-ab33-e29dc23658f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cd2fd686-3630-43c9-afa8-387d5e7928ce" xsi:nil="true"/>
    <MigrationWizId xmlns="cd2fd686-3630-43c9-afa8-387d5e7928ce" xsi:nil="true"/>
    <MigrationWizIdPermissions xmlns="cd2fd686-3630-43c9-afa8-387d5e7928ce" xsi:nil="true"/>
    <MigrationWizIdPermissionLevels xmlns="cd2fd686-3630-43c9-afa8-387d5e7928ce" xsi:nil="true"/>
    <MigrationWizIdSecurityGroups xmlns="cd2fd686-3630-43c9-afa8-387d5e7928ce" xsi:nil="true"/>
  </documentManagement>
</p:properties>
</file>

<file path=customXml/itemProps1.xml><?xml version="1.0" encoding="utf-8"?>
<ds:datastoreItem xmlns:ds="http://schemas.openxmlformats.org/officeDocument/2006/customXml" ds:itemID="{41193AB2-D019-4C0A-8845-604E49476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fd686-3630-43c9-afa8-387d5e7928ce"/>
    <ds:schemaRef ds:uri="221e86db-9c10-44a6-ab33-e29dc2365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57489-0B14-4F2E-84F3-C2FEAD001DD7}">
  <ds:schemaRefs>
    <ds:schemaRef ds:uri="http://schemas.microsoft.com/sharepoint/v3/contenttype/forms"/>
  </ds:schemaRefs>
</ds:datastoreItem>
</file>

<file path=customXml/itemProps3.xml><?xml version="1.0" encoding="utf-8"?>
<ds:datastoreItem xmlns:ds="http://schemas.openxmlformats.org/officeDocument/2006/customXml" ds:itemID="{8D75E163-06CB-423E-BFE2-F18D69B4EB76}">
  <ds:schemaRefs>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http://purl.org/dc/dcmitype/"/>
    <ds:schemaRef ds:uri="cd2fd686-3630-43c9-afa8-387d5e7928ce"/>
    <ds:schemaRef ds:uri="221e86db-9c10-44a6-ab33-e29dc23658f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1892</Words>
  <Characters>10786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Hall-Williams</dc:creator>
  <cp:keywords/>
  <dc:description/>
  <cp:lastModifiedBy>Nicolas Hogg</cp:lastModifiedBy>
  <cp:revision>2</cp:revision>
  <dcterms:created xsi:type="dcterms:W3CDTF">2022-05-05T09:37:00Z</dcterms:created>
  <dcterms:modified xsi:type="dcterms:W3CDTF">2022-05-05T09:37:00Z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0x01010098D196B16D87CF4B8B0A712577313D74</vt:lpwstr>
  </property>
</Properties>
</file>